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仿宋" w:hAnsi="仿宋" w:eastAsia="仿宋" w:cs="仿宋"/>
          <w:b/>
          <w:kern w:val="0"/>
          <w:sz w:val="52"/>
          <w:szCs w:val="52"/>
        </w:rPr>
      </w:pPr>
      <w:bookmarkStart w:id="0" w:name="_Toc423612279"/>
      <w:bookmarkStart w:id="1" w:name="_Toc407704314"/>
    </w:p>
    <w:p>
      <w:pPr>
        <w:widowControl/>
        <w:spacing w:line="360" w:lineRule="auto"/>
        <w:jc w:val="center"/>
        <w:rPr>
          <w:rFonts w:ascii="仿宋" w:hAnsi="仿宋" w:eastAsia="仿宋" w:cs="仿宋"/>
          <w:b/>
          <w:kern w:val="0"/>
          <w:sz w:val="52"/>
          <w:szCs w:val="52"/>
        </w:rPr>
      </w:pPr>
    </w:p>
    <w:p>
      <w:pPr>
        <w:widowControl/>
        <w:spacing w:line="360" w:lineRule="auto"/>
        <w:jc w:val="center"/>
        <w:rPr>
          <w:rFonts w:ascii="仿宋" w:hAnsi="仿宋" w:eastAsia="仿宋" w:cs="仿宋"/>
          <w:b/>
          <w:kern w:val="0"/>
          <w:sz w:val="44"/>
          <w:szCs w:val="44"/>
        </w:rPr>
      </w:pPr>
    </w:p>
    <w:p>
      <w:pPr>
        <w:widowControl/>
        <w:spacing w:line="360" w:lineRule="auto"/>
        <w:jc w:val="center"/>
        <w:rPr>
          <w:rFonts w:ascii="仿宋" w:hAnsi="仿宋" w:eastAsia="仿宋" w:cs="仿宋"/>
          <w:b/>
          <w:kern w:val="0"/>
          <w:sz w:val="44"/>
          <w:szCs w:val="44"/>
        </w:rPr>
      </w:pPr>
    </w:p>
    <w:p>
      <w:pPr>
        <w:widowControl/>
        <w:spacing w:line="360" w:lineRule="auto"/>
        <w:jc w:val="center"/>
        <w:rPr>
          <w:rFonts w:ascii="仿宋" w:hAnsi="仿宋" w:eastAsia="仿宋" w:cs="仿宋"/>
          <w:b/>
          <w:kern w:val="0"/>
          <w:sz w:val="44"/>
          <w:szCs w:val="44"/>
        </w:rPr>
      </w:pPr>
    </w:p>
    <w:p>
      <w:pPr>
        <w:widowControl/>
        <w:spacing w:line="360" w:lineRule="auto"/>
        <w:jc w:val="center"/>
        <w:rPr>
          <w:rFonts w:ascii="仿宋" w:hAnsi="仿宋" w:eastAsia="仿宋" w:cs="仿宋"/>
          <w:b/>
          <w:kern w:val="0"/>
          <w:sz w:val="56"/>
          <w:szCs w:val="52"/>
        </w:rPr>
      </w:pPr>
      <w:r>
        <w:rPr>
          <w:rFonts w:hint="eastAsia" w:ascii="仿宋" w:hAnsi="仿宋" w:eastAsia="仿宋" w:cs="仿宋"/>
          <w:b/>
          <w:kern w:val="0"/>
          <w:sz w:val="56"/>
          <w:szCs w:val="52"/>
        </w:rPr>
        <w:t>糖业转型升级行动计划</w:t>
      </w:r>
    </w:p>
    <w:p>
      <w:pPr>
        <w:widowControl/>
        <w:spacing w:line="360" w:lineRule="auto"/>
        <w:jc w:val="center"/>
        <w:rPr>
          <w:rFonts w:ascii="Times New Roman" w:hAnsi="Times New Roman" w:eastAsia="仿宋"/>
          <w:kern w:val="0"/>
          <w:sz w:val="52"/>
          <w:szCs w:val="52"/>
        </w:rPr>
      </w:pPr>
      <w:r>
        <w:rPr>
          <w:rFonts w:hint="eastAsia" w:ascii="Times New Roman" w:hAnsi="Times New Roman" w:eastAsia="仿宋"/>
          <w:kern w:val="0"/>
          <w:sz w:val="52"/>
          <w:szCs w:val="52"/>
        </w:rPr>
        <w:t>（</w:t>
      </w:r>
      <w:r>
        <w:rPr>
          <w:rFonts w:ascii="Times New Roman" w:hAnsi="Times New Roman" w:eastAsia="仿宋"/>
          <w:kern w:val="0"/>
          <w:sz w:val="52"/>
          <w:szCs w:val="52"/>
        </w:rPr>
        <w:t>2018</w:t>
      </w:r>
      <w:r>
        <w:rPr>
          <w:rFonts w:hint="eastAsia" w:ascii="Times New Roman" w:hAnsi="Times New Roman" w:eastAsia="仿宋"/>
          <w:kern w:val="0"/>
          <w:sz w:val="52"/>
          <w:szCs w:val="52"/>
        </w:rPr>
        <w:t>—</w:t>
      </w:r>
      <w:r>
        <w:rPr>
          <w:rFonts w:ascii="Times New Roman" w:hAnsi="Times New Roman" w:eastAsia="仿宋"/>
          <w:kern w:val="0"/>
          <w:sz w:val="52"/>
          <w:szCs w:val="52"/>
        </w:rPr>
        <w:t>2022年</w:t>
      </w:r>
      <w:r>
        <w:rPr>
          <w:rFonts w:hint="eastAsia" w:ascii="Times New Roman" w:hAnsi="Times New Roman" w:eastAsia="仿宋"/>
          <w:kern w:val="0"/>
          <w:sz w:val="52"/>
          <w:szCs w:val="52"/>
        </w:rPr>
        <w:t>）</w:t>
      </w:r>
    </w:p>
    <w:p>
      <w:pPr>
        <w:widowControl/>
        <w:spacing w:line="360" w:lineRule="auto"/>
        <w:rPr>
          <w:rFonts w:ascii="仿宋" w:hAnsi="仿宋" w:eastAsia="仿宋" w:cs="仿宋"/>
          <w:b/>
          <w:kern w:val="0"/>
          <w:sz w:val="52"/>
          <w:szCs w:val="52"/>
        </w:rPr>
      </w:pPr>
    </w:p>
    <w:p>
      <w:pPr>
        <w:widowControl/>
        <w:spacing w:line="360" w:lineRule="auto"/>
        <w:jc w:val="center"/>
        <w:rPr>
          <w:rFonts w:ascii="仿宋" w:hAnsi="仿宋" w:eastAsia="仿宋" w:cs="仿宋"/>
          <w:b/>
          <w:kern w:val="0"/>
          <w:sz w:val="52"/>
          <w:szCs w:val="52"/>
        </w:rPr>
      </w:pPr>
    </w:p>
    <w:p>
      <w:pPr>
        <w:widowControl/>
        <w:spacing w:line="360" w:lineRule="auto"/>
        <w:jc w:val="center"/>
        <w:rPr>
          <w:rFonts w:ascii="仿宋" w:hAnsi="仿宋" w:eastAsia="仿宋" w:cs="仿宋"/>
          <w:b/>
          <w:kern w:val="0"/>
          <w:sz w:val="52"/>
          <w:szCs w:val="52"/>
        </w:rPr>
      </w:pPr>
    </w:p>
    <w:p>
      <w:pPr>
        <w:widowControl/>
        <w:spacing w:line="360" w:lineRule="auto"/>
        <w:jc w:val="center"/>
        <w:rPr>
          <w:rFonts w:ascii="仿宋" w:hAnsi="仿宋" w:eastAsia="仿宋" w:cs="仿宋"/>
          <w:b/>
          <w:kern w:val="0"/>
          <w:sz w:val="52"/>
          <w:szCs w:val="52"/>
        </w:rPr>
      </w:pPr>
    </w:p>
    <w:p>
      <w:pPr>
        <w:widowControl/>
        <w:spacing w:line="360" w:lineRule="auto"/>
        <w:jc w:val="center"/>
        <w:rPr>
          <w:rFonts w:ascii="仿宋" w:hAnsi="仿宋" w:eastAsia="仿宋" w:cs="仿宋"/>
          <w:b/>
          <w:kern w:val="0"/>
          <w:sz w:val="52"/>
          <w:szCs w:val="52"/>
        </w:rPr>
      </w:pPr>
    </w:p>
    <w:p>
      <w:pPr>
        <w:widowControl/>
        <w:spacing w:line="360" w:lineRule="auto"/>
        <w:jc w:val="center"/>
        <w:rPr>
          <w:rFonts w:ascii="仿宋" w:hAnsi="仿宋" w:eastAsia="仿宋" w:cs="仿宋"/>
          <w:b/>
          <w:kern w:val="0"/>
          <w:sz w:val="52"/>
          <w:szCs w:val="52"/>
        </w:rPr>
      </w:pPr>
    </w:p>
    <w:p>
      <w:pPr>
        <w:widowControl/>
        <w:spacing w:line="360" w:lineRule="auto"/>
        <w:jc w:val="center"/>
        <w:rPr>
          <w:rFonts w:ascii="仿宋" w:hAnsi="仿宋" w:eastAsia="仿宋" w:cs="仿宋"/>
          <w:b/>
          <w:kern w:val="0"/>
          <w:sz w:val="36"/>
          <w:szCs w:val="36"/>
        </w:rPr>
      </w:pPr>
      <w:r>
        <w:rPr>
          <w:rFonts w:hint="eastAsia" w:ascii="仿宋" w:hAnsi="仿宋" w:eastAsia="仿宋" w:cs="仿宋"/>
          <w:b/>
          <w:kern w:val="0"/>
          <w:sz w:val="36"/>
          <w:szCs w:val="36"/>
        </w:rPr>
        <w:t>中国糖业协会</w:t>
      </w:r>
    </w:p>
    <w:p>
      <w:pPr>
        <w:widowControl/>
        <w:spacing w:line="360" w:lineRule="auto"/>
        <w:jc w:val="center"/>
        <w:rPr>
          <w:rFonts w:ascii="仿宋" w:hAnsi="仿宋" w:eastAsia="仿宋" w:cs="仿宋"/>
          <w:b/>
          <w:kern w:val="0"/>
          <w:sz w:val="36"/>
          <w:szCs w:val="36"/>
        </w:rPr>
      </w:pPr>
      <w:r>
        <w:rPr>
          <w:rFonts w:hint="eastAsia" w:ascii="仿宋" w:hAnsi="仿宋" w:eastAsia="仿宋" w:cs="仿宋"/>
          <w:b/>
          <w:kern w:val="0"/>
          <w:sz w:val="36"/>
          <w:szCs w:val="36"/>
        </w:rPr>
        <w:t>二〇一七年</w:t>
      </w:r>
      <w:r>
        <w:rPr>
          <w:rFonts w:hint="eastAsia" w:ascii="仿宋" w:hAnsi="仿宋" w:eastAsia="仿宋" w:cs="仿宋"/>
          <w:b/>
          <w:kern w:val="0"/>
          <w:sz w:val="36"/>
          <w:szCs w:val="36"/>
          <w:lang w:eastAsia="zh-CN"/>
        </w:rPr>
        <w:t>十</w:t>
      </w:r>
      <w:r>
        <w:rPr>
          <w:rFonts w:hint="eastAsia" w:ascii="仿宋" w:hAnsi="仿宋" w:eastAsia="仿宋" w:cs="仿宋"/>
          <w:b/>
          <w:kern w:val="0"/>
          <w:sz w:val="36"/>
          <w:szCs w:val="36"/>
        </w:rPr>
        <w:t>月</w:t>
      </w:r>
    </w:p>
    <w:p>
      <w:pPr>
        <w:widowControl/>
        <w:spacing w:line="360" w:lineRule="auto"/>
        <w:jc w:val="center"/>
        <w:rPr>
          <w:rFonts w:ascii="仿宋" w:hAnsi="仿宋" w:eastAsia="仿宋" w:cs="仿宋"/>
          <w:b/>
          <w:kern w:val="0"/>
          <w:sz w:val="52"/>
          <w:szCs w:val="52"/>
        </w:rPr>
      </w:pPr>
    </w:p>
    <w:p>
      <w:pPr>
        <w:widowControl/>
        <w:spacing w:line="360" w:lineRule="auto"/>
        <w:jc w:val="center"/>
        <w:rPr>
          <w:rFonts w:ascii="仿宋" w:hAnsi="仿宋" w:eastAsia="仿宋" w:cs="仿宋"/>
          <w:b/>
          <w:kern w:val="0"/>
          <w:sz w:val="52"/>
          <w:szCs w:val="52"/>
        </w:rPr>
        <w:sectPr>
          <w:pgSz w:w="11906" w:h="16838"/>
          <w:pgMar w:top="1440" w:right="1800" w:bottom="1440" w:left="1800" w:header="851" w:footer="992" w:gutter="0"/>
          <w:pgNumType w:start="1"/>
          <w:cols w:space="425" w:num="1"/>
          <w:docGrid w:type="lines" w:linePitch="312" w:charSpace="0"/>
        </w:sectPr>
      </w:pPr>
    </w:p>
    <w:p>
      <w:pPr>
        <w:widowControl/>
        <w:spacing w:line="360" w:lineRule="auto"/>
        <w:jc w:val="center"/>
        <w:rPr>
          <w:rFonts w:ascii="仿宋" w:hAnsi="仿宋" w:eastAsia="仿宋" w:cs="仿宋"/>
          <w:b/>
          <w:kern w:val="0"/>
          <w:sz w:val="52"/>
          <w:szCs w:val="52"/>
        </w:rPr>
        <w:sectPr>
          <w:pgSz w:w="11906" w:h="16838"/>
          <w:pgMar w:top="1440" w:right="1800" w:bottom="1440" w:left="1800" w:header="851" w:footer="992" w:gutter="0"/>
          <w:pgNumType w:start="1"/>
          <w:cols w:space="425" w:num="1"/>
          <w:docGrid w:type="lines" w:linePitch="312" w:charSpace="0"/>
        </w:sectPr>
      </w:pPr>
    </w:p>
    <w:p>
      <w:pPr>
        <w:pStyle w:val="11"/>
        <w:tabs>
          <w:tab w:val="right" w:leader="dot" w:pos="8306"/>
        </w:tabs>
        <w:spacing w:line="360" w:lineRule="auto"/>
        <w:jc w:val="center"/>
        <w:rPr>
          <w:rFonts w:ascii="仿宋" w:hAnsi="仿宋" w:eastAsia="仿宋" w:cs="仿宋"/>
          <w:b/>
          <w:kern w:val="0"/>
          <w:sz w:val="36"/>
          <w:szCs w:val="36"/>
        </w:rPr>
      </w:pPr>
      <w:r>
        <w:rPr>
          <w:rFonts w:hint="eastAsia" w:ascii="仿宋" w:hAnsi="仿宋" w:eastAsia="仿宋" w:cs="仿宋"/>
          <w:b/>
          <w:kern w:val="0"/>
          <w:sz w:val="36"/>
          <w:szCs w:val="36"/>
        </w:rPr>
        <w:t>目  录</w:t>
      </w:r>
    </w:p>
    <w:p>
      <w:pPr>
        <w:pStyle w:val="11"/>
        <w:tabs>
          <w:tab w:val="right" w:leader="dot" w:pos="8306"/>
        </w:tabs>
        <w:rPr>
          <w:rFonts w:hint="eastAsia" w:ascii="仿宋" w:hAnsi="仿宋" w:eastAsia="仿宋" w:cs="仿宋"/>
          <w:sz w:val="30"/>
          <w:szCs w:val="30"/>
        </w:rPr>
      </w:pPr>
      <w:r>
        <w:rPr>
          <w:rFonts w:hint="eastAsia" w:ascii="仿宋" w:hAnsi="仿宋" w:eastAsia="仿宋" w:cs="仿宋"/>
          <w:b/>
          <w:kern w:val="0"/>
          <w:sz w:val="30"/>
          <w:szCs w:val="30"/>
        </w:rPr>
        <w:fldChar w:fldCharType="begin"/>
      </w:r>
      <w:r>
        <w:rPr>
          <w:rFonts w:hint="eastAsia" w:ascii="仿宋" w:hAnsi="仿宋" w:eastAsia="仿宋" w:cs="仿宋"/>
          <w:b/>
          <w:kern w:val="0"/>
          <w:sz w:val="30"/>
          <w:szCs w:val="30"/>
        </w:rPr>
        <w:instrText xml:space="preserve">TOC \o "1-3" \h \u </w:instrText>
      </w:r>
      <w:r>
        <w:rPr>
          <w:rFonts w:hint="eastAsia" w:ascii="仿宋" w:hAnsi="仿宋" w:eastAsia="仿宋" w:cs="仿宋"/>
          <w:b/>
          <w:kern w:val="0"/>
          <w:sz w:val="30"/>
          <w:szCs w:val="30"/>
        </w:rPr>
        <w:fldChar w:fldCharType="separate"/>
      </w:r>
      <w:r>
        <w:rPr>
          <w:rFonts w:hint="eastAsia" w:ascii="黑体" w:hAnsi="黑体" w:eastAsia="黑体" w:cs="黑体"/>
          <w:kern w:val="0"/>
          <w:sz w:val="30"/>
          <w:szCs w:val="30"/>
        </w:rPr>
        <w:fldChar w:fldCharType="begin"/>
      </w:r>
      <w:r>
        <w:rPr>
          <w:rFonts w:hint="eastAsia" w:ascii="黑体" w:hAnsi="黑体" w:eastAsia="黑体" w:cs="黑体"/>
          <w:kern w:val="0"/>
          <w:sz w:val="30"/>
          <w:szCs w:val="30"/>
        </w:rPr>
        <w:instrText xml:space="preserve"> HYPERLINK \l _Toc7864 </w:instrText>
      </w:r>
      <w:r>
        <w:rPr>
          <w:rFonts w:hint="eastAsia" w:ascii="黑体" w:hAnsi="黑体" w:eastAsia="黑体" w:cs="黑体"/>
          <w:kern w:val="0"/>
          <w:sz w:val="30"/>
          <w:szCs w:val="30"/>
        </w:rPr>
        <w:fldChar w:fldCharType="separate"/>
      </w:r>
      <w:r>
        <w:rPr>
          <w:rFonts w:hint="eastAsia" w:ascii="黑体" w:hAnsi="黑体" w:eastAsia="黑体" w:cs="黑体"/>
          <w:sz w:val="30"/>
          <w:szCs w:val="30"/>
        </w:rPr>
        <w:t>一、背景</w:t>
      </w:r>
      <w:r>
        <w:rPr>
          <w:rFonts w:hint="eastAsia" w:ascii="黑体" w:hAnsi="黑体" w:eastAsia="黑体" w:cs="黑体"/>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_Toc7864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rPr>
        <w:fldChar w:fldCharType="end"/>
      </w:r>
      <w:r>
        <w:rPr>
          <w:rFonts w:hint="eastAsia" w:ascii="黑体" w:hAnsi="黑体" w:eastAsia="黑体" w:cs="黑体"/>
          <w:kern w:val="0"/>
          <w:sz w:val="30"/>
          <w:szCs w:val="30"/>
        </w:rPr>
        <w:fldChar w:fldCharType="end"/>
      </w:r>
    </w:p>
    <w:p>
      <w:pPr>
        <w:pStyle w:val="11"/>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_Toc2988 </w:instrText>
      </w:r>
      <w:r>
        <w:rPr>
          <w:rFonts w:hint="eastAsia" w:ascii="仿宋" w:hAnsi="仿宋" w:eastAsia="仿宋" w:cs="仿宋"/>
          <w:kern w:val="0"/>
          <w:sz w:val="30"/>
          <w:szCs w:val="30"/>
        </w:rPr>
        <w:fldChar w:fldCharType="separate"/>
      </w:r>
      <w:r>
        <w:rPr>
          <w:rFonts w:hint="eastAsia" w:ascii="黑体" w:hAnsi="黑体" w:eastAsia="黑体" w:cs="黑体"/>
          <w:sz w:val="30"/>
          <w:szCs w:val="30"/>
        </w:rPr>
        <w:t>二、指导思想、基本原则和行动目标</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_Toc2988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2"/>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_Toc11820 </w:instrText>
      </w:r>
      <w:r>
        <w:rPr>
          <w:rFonts w:hint="eastAsia" w:ascii="仿宋" w:hAnsi="仿宋" w:eastAsia="仿宋" w:cs="仿宋"/>
          <w:kern w:val="0"/>
          <w:sz w:val="30"/>
          <w:szCs w:val="30"/>
        </w:rPr>
        <w:fldChar w:fldCharType="separate"/>
      </w:r>
      <w:r>
        <w:rPr>
          <w:rFonts w:hint="eastAsia" w:ascii="仿宋" w:hAnsi="仿宋" w:eastAsia="仿宋" w:cs="仿宋"/>
          <w:sz w:val="30"/>
          <w:szCs w:val="30"/>
        </w:rPr>
        <w:t>（一）指导思想</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_Toc11820 </w:instrText>
      </w:r>
      <w:r>
        <w:rPr>
          <w:rFonts w:hint="eastAsia" w:ascii="仿宋" w:hAnsi="仿宋" w:eastAsia="仿宋" w:cs="仿宋"/>
          <w:sz w:val="30"/>
          <w:szCs w:val="30"/>
        </w:rPr>
        <w:fldChar w:fldCharType="separate"/>
      </w:r>
      <w:r>
        <w:rPr>
          <w:rFonts w:hint="eastAsia" w:ascii="仿宋" w:hAnsi="仿宋" w:eastAsia="仿宋" w:cs="仿宋"/>
          <w:sz w:val="30"/>
          <w:szCs w:val="30"/>
        </w:rPr>
        <w:t>2</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2"/>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_Toc20037 </w:instrText>
      </w:r>
      <w:r>
        <w:rPr>
          <w:rFonts w:hint="eastAsia" w:ascii="仿宋" w:hAnsi="仿宋" w:eastAsia="仿宋" w:cs="仿宋"/>
          <w:kern w:val="0"/>
          <w:sz w:val="30"/>
          <w:szCs w:val="30"/>
        </w:rPr>
        <w:fldChar w:fldCharType="separate"/>
      </w:r>
      <w:r>
        <w:rPr>
          <w:rFonts w:hint="eastAsia" w:ascii="仿宋" w:hAnsi="仿宋" w:eastAsia="仿宋" w:cs="仿宋"/>
          <w:sz w:val="30"/>
          <w:szCs w:val="30"/>
        </w:rPr>
        <w:t>（二）基本原则</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_Toc20037 </w:instrText>
      </w:r>
      <w:r>
        <w:rPr>
          <w:rFonts w:hint="eastAsia" w:ascii="仿宋" w:hAnsi="仿宋" w:eastAsia="仿宋" w:cs="仿宋"/>
          <w:sz w:val="30"/>
          <w:szCs w:val="30"/>
        </w:rPr>
        <w:fldChar w:fldCharType="separate"/>
      </w:r>
      <w:r>
        <w:rPr>
          <w:rFonts w:hint="eastAsia" w:ascii="仿宋" w:hAnsi="仿宋" w:eastAsia="仿宋" w:cs="仿宋"/>
          <w:sz w:val="30"/>
          <w:szCs w:val="30"/>
        </w:rPr>
        <w:t>3</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2"/>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_Toc19487 </w:instrText>
      </w:r>
      <w:r>
        <w:rPr>
          <w:rFonts w:hint="eastAsia" w:ascii="仿宋" w:hAnsi="仿宋" w:eastAsia="仿宋" w:cs="仿宋"/>
          <w:kern w:val="0"/>
          <w:sz w:val="30"/>
          <w:szCs w:val="30"/>
        </w:rPr>
        <w:fldChar w:fldCharType="separate"/>
      </w:r>
      <w:r>
        <w:rPr>
          <w:rFonts w:hint="eastAsia" w:ascii="仿宋" w:hAnsi="仿宋" w:eastAsia="仿宋" w:cs="仿宋"/>
          <w:sz w:val="30"/>
          <w:szCs w:val="30"/>
        </w:rPr>
        <w:t>（三）行动目标</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_Toc19487 </w:instrText>
      </w:r>
      <w:r>
        <w:rPr>
          <w:rFonts w:hint="eastAsia" w:ascii="仿宋" w:hAnsi="仿宋" w:eastAsia="仿宋" w:cs="仿宋"/>
          <w:sz w:val="30"/>
          <w:szCs w:val="30"/>
        </w:rPr>
        <w:fldChar w:fldCharType="separate"/>
      </w:r>
      <w:r>
        <w:rPr>
          <w:rFonts w:hint="eastAsia" w:ascii="仿宋" w:hAnsi="仿宋" w:eastAsia="仿宋" w:cs="仿宋"/>
          <w:sz w:val="30"/>
          <w:szCs w:val="30"/>
        </w:rPr>
        <w:t>3</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1"/>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_Toc6477 </w:instrText>
      </w:r>
      <w:r>
        <w:rPr>
          <w:rFonts w:hint="eastAsia" w:ascii="仿宋" w:hAnsi="仿宋" w:eastAsia="仿宋" w:cs="仿宋"/>
          <w:kern w:val="0"/>
          <w:sz w:val="30"/>
          <w:szCs w:val="30"/>
        </w:rPr>
        <w:fldChar w:fldCharType="separate"/>
      </w:r>
      <w:r>
        <w:rPr>
          <w:rFonts w:hint="eastAsia" w:ascii="黑体" w:hAnsi="黑体" w:eastAsia="黑体" w:cs="黑体"/>
          <w:sz w:val="30"/>
          <w:szCs w:val="30"/>
        </w:rPr>
        <w:t>三、重点任务</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_Toc6477 </w:instrText>
      </w:r>
      <w:r>
        <w:rPr>
          <w:rFonts w:hint="eastAsia" w:ascii="仿宋" w:hAnsi="仿宋" w:eastAsia="仿宋" w:cs="仿宋"/>
          <w:sz w:val="30"/>
          <w:szCs w:val="30"/>
        </w:rPr>
        <w:fldChar w:fldCharType="separate"/>
      </w:r>
      <w:r>
        <w:rPr>
          <w:rFonts w:hint="eastAsia" w:ascii="仿宋" w:hAnsi="仿宋" w:eastAsia="仿宋" w:cs="仿宋"/>
          <w:sz w:val="30"/>
          <w:szCs w:val="30"/>
        </w:rPr>
        <w:t>5</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2"/>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_Toc31232 </w:instrText>
      </w:r>
      <w:r>
        <w:rPr>
          <w:rFonts w:hint="eastAsia" w:ascii="仿宋" w:hAnsi="仿宋" w:eastAsia="仿宋" w:cs="仿宋"/>
          <w:kern w:val="0"/>
          <w:sz w:val="30"/>
          <w:szCs w:val="30"/>
        </w:rPr>
        <w:fldChar w:fldCharType="separate"/>
      </w:r>
      <w:r>
        <w:rPr>
          <w:rFonts w:hint="eastAsia" w:ascii="仿宋" w:hAnsi="仿宋" w:eastAsia="仿宋" w:cs="仿宋"/>
          <w:sz w:val="30"/>
          <w:szCs w:val="30"/>
        </w:rPr>
        <w:t>（一）创新发展理念，探索行业发展新模式</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_Toc31232 </w:instrText>
      </w:r>
      <w:r>
        <w:rPr>
          <w:rFonts w:hint="eastAsia" w:ascii="仿宋" w:hAnsi="仿宋" w:eastAsia="仿宋" w:cs="仿宋"/>
          <w:sz w:val="30"/>
          <w:szCs w:val="30"/>
        </w:rPr>
        <w:fldChar w:fldCharType="separate"/>
      </w:r>
      <w:r>
        <w:rPr>
          <w:rFonts w:hint="eastAsia" w:ascii="仿宋" w:hAnsi="仿宋" w:eastAsia="仿宋" w:cs="仿宋"/>
          <w:sz w:val="30"/>
          <w:szCs w:val="30"/>
        </w:rPr>
        <w:t>5</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2"/>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_Toc27109 </w:instrText>
      </w:r>
      <w:r>
        <w:rPr>
          <w:rFonts w:hint="eastAsia" w:ascii="仿宋" w:hAnsi="仿宋" w:eastAsia="仿宋" w:cs="仿宋"/>
          <w:kern w:val="0"/>
          <w:sz w:val="30"/>
          <w:szCs w:val="30"/>
        </w:rPr>
        <w:fldChar w:fldCharType="separate"/>
      </w:r>
      <w:r>
        <w:rPr>
          <w:rFonts w:hint="eastAsia" w:ascii="仿宋" w:hAnsi="仿宋" w:eastAsia="仿宋" w:cs="仿宋"/>
          <w:sz w:val="30"/>
          <w:szCs w:val="30"/>
        </w:rPr>
        <w:t>（二）稳定糖料区划分，加强糖料管理</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_Toc27109 </w:instrText>
      </w:r>
      <w:r>
        <w:rPr>
          <w:rFonts w:hint="eastAsia" w:ascii="仿宋" w:hAnsi="仿宋" w:eastAsia="仿宋" w:cs="仿宋"/>
          <w:sz w:val="30"/>
          <w:szCs w:val="30"/>
        </w:rPr>
        <w:fldChar w:fldCharType="separate"/>
      </w:r>
      <w:r>
        <w:rPr>
          <w:rFonts w:hint="eastAsia" w:ascii="仿宋" w:hAnsi="仿宋" w:eastAsia="仿宋" w:cs="仿宋"/>
          <w:sz w:val="30"/>
          <w:szCs w:val="30"/>
        </w:rPr>
        <w:t>6</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2"/>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_Toc25642 </w:instrText>
      </w:r>
      <w:r>
        <w:rPr>
          <w:rFonts w:hint="eastAsia" w:ascii="仿宋" w:hAnsi="仿宋" w:eastAsia="仿宋" w:cs="仿宋"/>
          <w:kern w:val="0"/>
          <w:sz w:val="30"/>
          <w:szCs w:val="30"/>
        </w:rPr>
        <w:fldChar w:fldCharType="separate"/>
      </w:r>
      <w:r>
        <w:rPr>
          <w:rFonts w:hint="eastAsia" w:ascii="仿宋" w:hAnsi="仿宋" w:eastAsia="仿宋" w:cs="仿宋"/>
          <w:sz w:val="30"/>
          <w:szCs w:val="30"/>
        </w:rPr>
        <w:t>（三）推进糖料生产良种良法，提高单产和含糖</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_Toc25642 </w:instrText>
      </w:r>
      <w:r>
        <w:rPr>
          <w:rFonts w:hint="eastAsia" w:ascii="仿宋" w:hAnsi="仿宋" w:eastAsia="仿宋" w:cs="仿宋"/>
          <w:sz w:val="30"/>
          <w:szCs w:val="30"/>
        </w:rPr>
        <w:fldChar w:fldCharType="separate"/>
      </w:r>
      <w:r>
        <w:rPr>
          <w:rFonts w:hint="eastAsia" w:ascii="仿宋" w:hAnsi="仿宋" w:eastAsia="仿宋" w:cs="仿宋"/>
          <w:sz w:val="30"/>
          <w:szCs w:val="30"/>
        </w:rPr>
        <w:t>6</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2"/>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_Toc22451 </w:instrText>
      </w:r>
      <w:r>
        <w:rPr>
          <w:rFonts w:hint="eastAsia" w:ascii="仿宋" w:hAnsi="仿宋" w:eastAsia="仿宋" w:cs="仿宋"/>
          <w:kern w:val="0"/>
          <w:sz w:val="30"/>
          <w:szCs w:val="30"/>
        </w:rPr>
        <w:fldChar w:fldCharType="separate"/>
      </w:r>
      <w:r>
        <w:rPr>
          <w:rFonts w:hint="eastAsia" w:ascii="仿宋" w:hAnsi="仿宋" w:eastAsia="仿宋" w:cs="仿宋"/>
          <w:sz w:val="30"/>
          <w:szCs w:val="30"/>
        </w:rPr>
        <w:t>（四）推进糖料生产机械化，降低种植成本</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_Toc22451 </w:instrText>
      </w:r>
      <w:r>
        <w:rPr>
          <w:rFonts w:hint="eastAsia" w:ascii="仿宋" w:hAnsi="仿宋" w:eastAsia="仿宋" w:cs="仿宋"/>
          <w:sz w:val="30"/>
          <w:szCs w:val="30"/>
        </w:rPr>
        <w:fldChar w:fldCharType="separate"/>
      </w:r>
      <w:r>
        <w:rPr>
          <w:rFonts w:hint="eastAsia" w:ascii="仿宋" w:hAnsi="仿宋" w:eastAsia="仿宋" w:cs="仿宋"/>
          <w:sz w:val="30"/>
          <w:szCs w:val="30"/>
        </w:rPr>
        <w:t>7</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2"/>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_Toc21883 </w:instrText>
      </w:r>
      <w:r>
        <w:rPr>
          <w:rFonts w:hint="eastAsia" w:ascii="仿宋" w:hAnsi="仿宋" w:eastAsia="仿宋" w:cs="仿宋"/>
          <w:kern w:val="0"/>
          <w:sz w:val="30"/>
          <w:szCs w:val="30"/>
        </w:rPr>
        <w:fldChar w:fldCharType="separate"/>
      </w:r>
      <w:r>
        <w:rPr>
          <w:rFonts w:hint="eastAsia" w:ascii="仿宋" w:hAnsi="仿宋" w:eastAsia="仿宋" w:cs="仿宋"/>
          <w:sz w:val="30"/>
          <w:szCs w:val="30"/>
        </w:rPr>
        <w:t>（五）深入开展对标与升级改造，提高制糖生产绩效</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_Toc21883 </w:instrText>
      </w:r>
      <w:r>
        <w:rPr>
          <w:rFonts w:hint="eastAsia" w:ascii="仿宋" w:hAnsi="仿宋" w:eastAsia="仿宋" w:cs="仿宋"/>
          <w:sz w:val="30"/>
          <w:szCs w:val="30"/>
        </w:rPr>
        <w:fldChar w:fldCharType="separate"/>
      </w:r>
      <w:r>
        <w:rPr>
          <w:rFonts w:hint="eastAsia" w:ascii="仿宋" w:hAnsi="仿宋" w:eastAsia="仿宋" w:cs="仿宋"/>
          <w:sz w:val="30"/>
          <w:szCs w:val="30"/>
        </w:rPr>
        <w:t>8</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2"/>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_Toc5286 </w:instrText>
      </w:r>
      <w:r>
        <w:rPr>
          <w:rFonts w:hint="eastAsia" w:ascii="仿宋" w:hAnsi="仿宋" w:eastAsia="仿宋" w:cs="仿宋"/>
          <w:kern w:val="0"/>
          <w:sz w:val="30"/>
          <w:szCs w:val="30"/>
        </w:rPr>
        <w:fldChar w:fldCharType="separate"/>
      </w:r>
      <w:r>
        <w:rPr>
          <w:rFonts w:hint="eastAsia" w:ascii="仿宋" w:hAnsi="仿宋" w:eastAsia="仿宋" w:cs="仿宋"/>
          <w:sz w:val="30"/>
          <w:szCs w:val="30"/>
        </w:rPr>
        <w:t>（六）推行绿色制造技术，降低能耗和污染排放</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_Toc5286 </w:instrText>
      </w:r>
      <w:r>
        <w:rPr>
          <w:rFonts w:hint="eastAsia" w:ascii="仿宋" w:hAnsi="仿宋" w:eastAsia="仿宋" w:cs="仿宋"/>
          <w:sz w:val="30"/>
          <w:szCs w:val="30"/>
        </w:rPr>
        <w:fldChar w:fldCharType="separate"/>
      </w:r>
      <w:r>
        <w:rPr>
          <w:rFonts w:hint="eastAsia" w:ascii="仿宋" w:hAnsi="仿宋" w:eastAsia="仿宋" w:cs="仿宋"/>
          <w:sz w:val="30"/>
          <w:szCs w:val="30"/>
        </w:rPr>
        <w:t>10</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2"/>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_Toc10385 </w:instrText>
      </w:r>
      <w:r>
        <w:rPr>
          <w:rFonts w:hint="eastAsia" w:ascii="仿宋" w:hAnsi="仿宋" w:eastAsia="仿宋" w:cs="仿宋"/>
          <w:kern w:val="0"/>
          <w:sz w:val="30"/>
          <w:szCs w:val="30"/>
        </w:rPr>
        <w:fldChar w:fldCharType="separate"/>
      </w:r>
      <w:r>
        <w:rPr>
          <w:rFonts w:hint="eastAsia" w:ascii="仿宋" w:hAnsi="仿宋" w:eastAsia="仿宋" w:cs="仿宋"/>
          <w:sz w:val="30"/>
          <w:szCs w:val="30"/>
        </w:rPr>
        <w:t>（七）落实 “三品”战略，满足食糖消费升级需求</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_Toc10385 </w:instrText>
      </w:r>
      <w:r>
        <w:rPr>
          <w:rFonts w:hint="eastAsia" w:ascii="仿宋" w:hAnsi="仿宋" w:eastAsia="仿宋" w:cs="仿宋"/>
          <w:sz w:val="30"/>
          <w:szCs w:val="30"/>
        </w:rPr>
        <w:fldChar w:fldCharType="separate"/>
      </w:r>
      <w:r>
        <w:rPr>
          <w:rFonts w:hint="eastAsia" w:ascii="仿宋" w:hAnsi="仿宋" w:eastAsia="仿宋" w:cs="仿宋"/>
          <w:sz w:val="30"/>
          <w:szCs w:val="30"/>
        </w:rPr>
        <w:t>10</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1"/>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_Toc18369 </w:instrText>
      </w:r>
      <w:r>
        <w:rPr>
          <w:rFonts w:hint="eastAsia" w:ascii="仿宋" w:hAnsi="仿宋" w:eastAsia="仿宋" w:cs="仿宋"/>
          <w:kern w:val="0"/>
          <w:sz w:val="30"/>
          <w:szCs w:val="30"/>
        </w:rPr>
        <w:fldChar w:fldCharType="separate"/>
      </w:r>
      <w:r>
        <w:rPr>
          <w:rFonts w:hint="eastAsia" w:ascii="黑体" w:hAnsi="黑体" w:eastAsia="黑体" w:cs="黑体"/>
          <w:sz w:val="30"/>
          <w:szCs w:val="30"/>
        </w:rPr>
        <w:t>四、政策</w:t>
      </w:r>
      <w:r>
        <w:rPr>
          <w:rFonts w:hint="eastAsia" w:ascii="黑体" w:hAnsi="黑体" w:eastAsia="黑体" w:cs="黑体"/>
          <w:sz w:val="30"/>
          <w:szCs w:val="30"/>
          <w:lang w:eastAsia="zh-CN"/>
        </w:rPr>
        <w:t>建议</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_Toc18369 </w:instrText>
      </w:r>
      <w:r>
        <w:rPr>
          <w:rFonts w:hint="eastAsia" w:ascii="仿宋" w:hAnsi="仿宋" w:eastAsia="仿宋" w:cs="仿宋"/>
          <w:sz w:val="30"/>
          <w:szCs w:val="30"/>
        </w:rPr>
        <w:fldChar w:fldCharType="separate"/>
      </w:r>
      <w:r>
        <w:rPr>
          <w:rFonts w:hint="eastAsia" w:ascii="仿宋" w:hAnsi="仿宋" w:eastAsia="仿宋" w:cs="仿宋"/>
          <w:sz w:val="30"/>
          <w:szCs w:val="30"/>
        </w:rPr>
        <w:t>11</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2"/>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_Toc11209 </w:instrText>
      </w:r>
      <w:r>
        <w:rPr>
          <w:rFonts w:hint="eastAsia" w:ascii="仿宋" w:hAnsi="仿宋" w:eastAsia="仿宋" w:cs="仿宋"/>
          <w:kern w:val="0"/>
          <w:sz w:val="30"/>
          <w:szCs w:val="30"/>
        </w:rPr>
        <w:fldChar w:fldCharType="separate"/>
      </w:r>
      <w:r>
        <w:rPr>
          <w:rFonts w:hint="eastAsia" w:ascii="仿宋" w:hAnsi="仿宋" w:eastAsia="仿宋" w:cs="仿宋"/>
          <w:sz w:val="30"/>
          <w:szCs w:val="30"/>
        </w:rPr>
        <w:t>（一）进一步加强食糖进口管理</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_Toc11209 </w:instrText>
      </w:r>
      <w:r>
        <w:rPr>
          <w:rFonts w:hint="eastAsia" w:ascii="仿宋" w:hAnsi="仿宋" w:eastAsia="仿宋" w:cs="仿宋"/>
          <w:sz w:val="30"/>
          <w:szCs w:val="30"/>
        </w:rPr>
        <w:fldChar w:fldCharType="separate"/>
      </w:r>
      <w:r>
        <w:rPr>
          <w:rFonts w:hint="eastAsia" w:ascii="仿宋" w:hAnsi="仿宋" w:eastAsia="仿宋" w:cs="仿宋"/>
          <w:sz w:val="30"/>
          <w:szCs w:val="30"/>
        </w:rPr>
        <w:t>11</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2"/>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_Toc915 </w:instrText>
      </w:r>
      <w:r>
        <w:rPr>
          <w:rFonts w:hint="eastAsia" w:ascii="仿宋" w:hAnsi="仿宋" w:eastAsia="仿宋" w:cs="仿宋"/>
          <w:kern w:val="0"/>
          <w:sz w:val="30"/>
          <w:szCs w:val="30"/>
        </w:rPr>
        <w:fldChar w:fldCharType="separate"/>
      </w:r>
      <w:r>
        <w:rPr>
          <w:rFonts w:hint="eastAsia" w:ascii="仿宋" w:hAnsi="仿宋" w:eastAsia="仿宋" w:cs="仿宋"/>
          <w:sz w:val="30"/>
          <w:szCs w:val="30"/>
        </w:rPr>
        <w:t>（二）积极推进食糖目标价格管理实施</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_Toc915 </w:instrText>
      </w:r>
      <w:r>
        <w:rPr>
          <w:rFonts w:hint="eastAsia" w:ascii="仿宋" w:hAnsi="仿宋" w:eastAsia="仿宋" w:cs="仿宋"/>
          <w:sz w:val="30"/>
          <w:szCs w:val="30"/>
        </w:rPr>
        <w:fldChar w:fldCharType="separate"/>
      </w:r>
      <w:r>
        <w:rPr>
          <w:rFonts w:hint="eastAsia" w:ascii="仿宋" w:hAnsi="仿宋" w:eastAsia="仿宋" w:cs="仿宋"/>
          <w:sz w:val="30"/>
          <w:szCs w:val="30"/>
        </w:rPr>
        <w:t>11</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2"/>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_Toc22147 </w:instrText>
      </w:r>
      <w:r>
        <w:rPr>
          <w:rFonts w:hint="eastAsia" w:ascii="仿宋" w:hAnsi="仿宋" w:eastAsia="仿宋" w:cs="仿宋"/>
          <w:kern w:val="0"/>
          <w:sz w:val="30"/>
          <w:szCs w:val="30"/>
        </w:rPr>
        <w:fldChar w:fldCharType="separate"/>
      </w:r>
      <w:r>
        <w:rPr>
          <w:rFonts w:hint="eastAsia" w:ascii="仿宋" w:hAnsi="仿宋" w:eastAsia="仿宋" w:cs="仿宋"/>
          <w:sz w:val="30"/>
          <w:szCs w:val="30"/>
        </w:rPr>
        <w:t>（三）加大中央及地方财政支持力度</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_Toc22147 </w:instrText>
      </w:r>
      <w:r>
        <w:rPr>
          <w:rFonts w:hint="eastAsia" w:ascii="仿宋" w:hAnsi="仿宋" w:eastAsia="仿宋" w:cs="仿宋"/>
          <w:sz w:val="30"/>
          <w:szCs w:val="30"/>
        </w:rPr>
        <w:fldChar w:fldCharType="separate"/>
      </w:r>
      <w:r>
        <w:rPr>
          <w:rFonts w:hint="eastAsia" w:ascii="仿宋" w:hAnsi="仿宋" w:eastAsia="仿宋" w:cs="仿宋"/>
          <w:sz w:val="30"/>
          <w:szCs w:val="30"/>
        </w:rPr>
        <w:t>11</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2"/>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_Toc23800 </w:instrText>
      </w:r>
      <w:r>
        <w:rPr>
          <w:rFonts w:hint="eastAsia" w:ascii="仿宋" w:hAnsi="仿宋" w:eastAsia="仿宋" w:cs="仿宋"/>
          <w:kern w:val="0"/>
          <w:sz w:val="30"/>
          <w:szCs w:val="30"/>
        </w:rPr>
        <w:fldChar w:fldCharType="separate"/>
      </w:r>
      <w:r>
        <w:rPr>
          <w:rFonts w:hint="eastAsia" w:ascii="仿宋" w:hAnsi="仿宋" w:eastAsia="仿宋" w:cs="仿宋"/>
          <w:sz w:val="30"/>
          <w:szCs w:val="30"/>
        </w:rPr>
        <w:t>（四）完善糖料生产保护区布局</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_Toc23800 </w:instrText>
      </w:r>
      <w:r>
        <w:rPr>
          <w:rFonts w:hint="eastAsia" w:ascii="仿宋" w:hAnsi="仿宋" w:eastAsia="仿宋" w:cs="仿宋"/>
          <w:sz w:val="30"/>
          <w:szCs w:val="30"/>
        </w:rPr>
        <w:fldChar w:fldCharType="separate"/>
      </w:r>
      <w:r>
        <w:rPr>
          <w:rFonts w:hint="eastAsia" w:ascii="仿宋" w:hAnsi="仿宋" w:eastAsia="仿宋" w:cs="仿宋"/>
          <w:sz w:val="30"/>
          <w:szCs w:val="30"/>
        </w:rPr>
        <w:t>12</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2"/>
        <w:tabs>
          <w:tab w:val="right" w:leader="dot" w:pos="8306"/>
        </w:tabs>
        <w:rPr>
          <w:rFonts w:hint="eastAsia" w:ascii="仿宋" w:hAnsi="仿宋" w:eastAsia="仿宋" w:cs="仿宋"/>
          <w:sz w:val="30"/>
          <w:szCs w:val="30"/>
        </w:rPr>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_Toc24886 </w:instrText>
      </w:r>
      <w:r>
        <w:rPr>
          <w:rFonts w:hint="eastAsia" w:ascii="仿宋" w:hAnsi="仿宋" w:eastAsia="仿宋" w:cs="仿宋"/>
          <w:kern w:val="0"/>
          <w:sz w:val="30"/>
          <w:szCs w:val="30"/>
        </w:rPr>
        <w:fldChar w:fldCharType="separate"/>
      </w:r>
      <w:r>
        <w:rPr>
          <w:rFonts w:hint="eastAsia" w:ascii="仿宋" w:hAnsi="仿宋" w:eastAsia="仿宋" w:cs="仿宋"/>
          <w:sz w:val="30"/>
          <w:szCs w:val="30"/>
        </w:rPr>
        <w:t>（五）加强食糖市场有效监管</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_Toc24886 </w:instrText>
      </w:r>
      <w:r>
        <w:rPr>
          <w:rFonts w:hint="eastAsia" w:ascii="仿宋" w:hAnsi="仿宋" w:eastAsia="仿宋" w:cs="仿宋"/>
          <w:sz w:val="30"/>
          <w:szCs w:val="30"/>
        </w:rPr>
        <w:fldChar w:fldCharType="separate"/>
      </w:r>
      <w:r>
        <w:rPr>
          <w:rFonts w:hint="eastAsia" w:ascii="仿宋" w:hAnsi="仿宋" w:eastAsia="仿宋" w:cs="仿宋"/>
          <w:sz w:val="30"/>
          <w:szCs w:val="30"/>
        </w:rPr>
        <w:t>12</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pStyle w:val="12"/>
        <w:tabs>
          <w:tab w:val="right" w:leader="dot" w:pos="8306"/>
        </w:tabs>
      </w:pPr>
      <w:r>
        <w:rPr>
          <w:rFonts w:hint="eastAsia" w:ascii="仿宋" w:hAnsi="仿宋" w:eastAsia="仿宋" w:cs="仿宋"/>
          <w:kern w:val="0"/>
          <w:sz w:val="30"/>
          <w:szCs w:val="30"/>
        </w:rPr>
        <w:fldChar w:fldCharType="begin"/>
      </w:r>
      <w:r>
        <w:rPr>
          <w:rFonts w:hint="eastAsia" w:ascii="仿宋" w:hAnsi="仿宋" w:eastAsia="仿宋" w:cs="仿宋"/>
          <w:kern w:val="0"/>
          <w:sz w:val="30"/>
          <w:szCs w:val="30"/>
        </w:rPr>
        <w:instrText xml:space="preserve"> HYPERLINK \l _Toc3418 </w:instrText>
      </w:r>
      <w:r>
        <w:rPr>
          <w:rFonts w:hint="eastAsia" w:ascii="仿宋" w:hAnsi="仿宋" w:eastAsia="仿宋" w:cs="仿宋"/>
          <w:kern w:val="0"/>
          <w:sz w:val="30"/>
          <w:szCs w:val="30"/>
        </w:rPr>
        <w:fldChar w:fldCharType="separate"/>
      </w:r>
      <w:r>
        <w:rPr>
          <w:rFonts w:hint="eastAsia" w:ascii="仿宋" w:hAnsi="仿宋" w:eastAsia="仿宋" w:cs="仿宋"/>
          <w:sz w:val="30"/>
          <w:szCs w:val="30"/>
        </w:rPr>
        <w:t>（</w:t>
      </w:r>
      <w:r>
        <w:rPr>
          <w:rFonts w:hint="eastAsia" w:ascii="仿宋" w:hAnsi="仿宋" w:eastAsia="仿宋" w:cs="仿宋"/>
          <w:sz w:val="30"/>
          <w:szCs w:val="30"/>
          <w:lang w:eastAsia="zh-CN"/>
        </w:rPr>
        <w:t>六</w:t>
      </w:r>
      <w:r>
        <w:rPr>
          <w:rFonts w:hint="eastAsia" w:ascii="仿宋" w:hAnsi="仿宋" w:eastAsia="仿宋" w:cs="仿宋"/>
          <w:sz w:val="30"/>
          <w:szCs w:val="30"/>
        </w:rPr>
        <w:t>）充分发挥协会作用，全面推进《行动计划》落实</w:t>
      </w:r>
      <w:r>
        <w:rPr>
          <w:rFonts w:hint="eastAsia" w:ascii="仿宋" w:hAnsi="仿宋" w:eastAsia="仿宋" w:cs="仿宋"/>
          <w:sz w:val="30"/>
          <w:szCs w:val="30"/>
        </w:rPr>
        <w:tab/>
      </w: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PAGEREF _Toc3418 </w:instrText>
      </w:r>
      <w:r>
        <w:rPr>
          <w:rFonts w:hint="eastAsia" w:ascii="仿宋" w:hAnsi="仿宋" w:eastAsia="仿宋" w:cs="仿宋"/>
          <w:sz w:val="30"/>
          <w:szCs w:val="30"/>
        </w:rPr>
        <w:fldChar w:fldCharType="separate"/>
      </w:r>
      <w:r>
        <w:rPr>
          <w:rFonts w:hint="eastAsia" w:ascii="仿宋" w:hAnsi="仿宋" w:eastAsia="仿宋" w:cs="仿宋"/>
          <w:sz w:val="30"/>
          <w:szCs w:val="30"/>
        </w:rPr>
        <w:t>12</w:t>
      </w:r>
      <w:r>
        <w:rPr>
          <w:rFonts w:hint="eastAsia" w:ascii="仿宋" w:hAnsi="仿宋" w:eastAsia="仿宋" w:cs="仿宋"/>
          <w:sz w:val="30"/>
          <w:szCs w:val="30"/>
        </w:rPr>
        <w:fldChar w:fldCharType="end"/>
      </w:r>
      <w:r>
        <w:rPr>
          <w:rFonts w:hint="eastAsia" w:ascii="仿宋" w:hAnsi="仿宋" w:eastAsia="仿宋" w:cs="仿宋"/>
          <w:kern w:val="0"/>
          <w:sz w:val="30"/>
          <w:szCs w:val="30"/>
        </w:rPr>
        <w:fldChar w:fldCharType="end"/>
      </w: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仿宋" w:hAnsi="仿宋" w:eastAsia="仿宋" w:cs="仿宋"/>
          <w:kern w:val="0"/>
          <w:szCs w:val="30"/>
        </w:rPr>
        <w:sectPr>
          <w:footerReference r:id="rId3" w:type="default"/>
          <w:pgSz w:w="11906" w:h="16838"/>
          <w:pgMar w:top="1440" w:right="1800" w:bottom="1440" w:left="1800" w:header="851" w:footer="992" w:gutter="0"/>
          <w:pgNumType w:fmt="decimal" w:start="1"/>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ascii="仿宋" w:hAnsi="仿宋" w:eastAsia="仿宋" w:cs="仿宋"/>
          <w:kern w:val="0"/>
          <w:sz w:val="30"/>
          <w:szCs w:val="30"/>
        </w:rPr>
      </w:pPr>
      <w:r>
        <w:rPr>
          <w:rFonts w:hint="eastAsia" w:ascii="仿宋" w:hAnsi="仿宋" w:eastAsia="仿宋" w:cs="仿宋"/>
          <w:kern w:val="0"/>
          <w:szCs w:val="30"/>
        </w:rPr>
        <w:fldChar w:fldCharType="end"/>
      </w:r>
      <w:r>
        <w:rPr>
          <w:rFonts w:hint="eastAsia" w:ascii="仿宋" w:hAnsi="仿宋" w:eastAsia="仿宋" w:cs="仿宋"/>
          <w:kern w:val="0"/>
          <w:sz w:val="30"/>
          <w:szCs w:val="30"/>
        </w:rPr>
        <w:t>为全面贯彻落实党中央、国务院关于糖业发展的方针政策，确保老、少、边、穷地区4000万糖农的根本利益，把握国家对进口食糖产品采取保障措施的机遇，推动行业降本增效和转型升级，提升产业竞争力，实现糖业健康稳定可持续发展，特制定《糖业转型升级行动计划（2018-2022年）》（以下简称《行动计划》）。</w:t>
      </w:r>
    </w:p>
    <w:p>
      <w:pPr>
        <w:pStyle w:val="2"/>
        <w:spacing w:before="156"/>
        <w:ind w:firstLine="602"/>
      </w:pPr>
      <w:bookmarkStart w:id="2" w:name="_Toc7864"/>
      <w:bookmarkStart w:id="3" w:name="_Toc28866"/>
      <w:r>
        <w:rPr>
          <w:rFonts w:hint="eastAsia"/>
        </w:rPr>
        <w:t>一、背景</w:t>
      </w:r>
      <w:bookmarkEnd w:id="2"/>
      <w:bookmarkEnd w:id="3"/>
    </w:p>
    <w:p>
      <w:pPr>
        <w:widowControl/>
        <w:spacing w:line="360" w:lineRule="auto"/>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 xml:space="preserve">我国是既产甘蔗糖又产甜菜糖的国家，甘蔗糖约占90%，甜菜糖约占10%。甘蔗糖主要分布在广西、云南、广东、海南四个边疆省（区），甜菜糖主要分布在新疆、内蒙古等边疆少数民族地区。食糖既是人民生活的必需品，也是食品工业及下游产业的重要基础原料，糖业发展为我国4000万糖农脱贫致富、边疆少数民族地区的经济发展和社会稳定做出了重要贡献。 </w:t>
      </w:r>
    </w:p>
    <w:p>
      <w:pPr>
        <w:widowControl/>
        <w:spacing w:line="360" w:lineRule="auto"/>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由于我国糖料生产的自然禀赋条件较差，加之良种良法推广缓慢，糖料生产机械化程度低，导致糖料种植成本高，制糖成本居高不下，缺乏国际竞争力。特别是自2011年以来连续几年的超量进口食糖对国内产业造成严重冲击，致使全国制糖行业自2012/13年制糖期始连续三个制糖期亏损，总额累计达147.3亿元，糖农种植积极性减弱，糖料及食糖产量双双下滑，行业发展受到重创。</w:t>
      </w:r>
    </w:p>
    <w:p>
      <w:pPr>
        <w:spacing w:line="360" w:lineRule="auto"/>
        <w:ind w:firstLine="573"/>
        <w:rPr>
          <w:rFonts w:ascii="仿宋" w:hAnsi="仿宋" w:eastAsia="仿宋" w:cs="仿宋"/>
          <w:kern w:val="0"/>
          <w:sz w:val="30"/>
          <w:szCs w:val="30"/>
        </w:rPr>
      </w:pPr>
      <w:r>
        <w:rPr>
          <w:rFonts w:hint="eastAsia" w:ascii="仿宋" w:hAnsi="仿宋" w:eastAsia="仿宋" w:cs="仿宋"/>
          <w:sz w:val="30"/>
          <w:szCs w:val="30"/>
        </w:rPr>
        <w:t>对此，中国糖业协会于2014年开始组织原糖进口加工企业实施行业自律，商务部、海关总署自2014年11月1日将关税配额外食糖进口纳入了自动进口许可管理。特别是在党中央、国务院的高度重视下，通过国家有关部委全力推进，全行业积极工作和不懈努力，2017年5月22日，商务部发布了《关于对进口食糖采取保障措施的公告》，</w:t>
      </w:r>
      <w:r>
        <w:rPr>
          <w:rFonts w:hint="eastAsia" w:ascii="仿宋" w:hAnsi="仿宋" w:eastAsia="仿宋" w:cs="仿宋"/>
          <w:kern w:val="0"/>
          <w:sz w:val="30"/>
          <w:szCs w:val="30"/>
        </w:rPr>
        <w:t>对关税配额外进口食糖采取保障措施。这些政策措施的出台，对我国糖业尽快走出低谷，步入健康稳定持续发展的轨道提供了极其重要的契机。</w:t>
      </w:r>
    </w:p>
    <w:p>
      <w:pPr>
        <w:widowControl/>
        <w:spacing w:line="360" w:lineRule="auto"/>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本《行动计划》旨在实现保障食糖供给、维护糖业产业安全和服务“三农”的历史使命，为此组织全行业抓机遇，调结构，练内功，降成本，争取通过五年的努力，使我国糖料种植成本明显下降，食糖生产成本进一步降低，糖业转型升级取得重要成效，糖业综合竞争力得到显著提升。</w:t>
      </w:r>
    </w:p>
    <w:p>
      <w:pPr>
        <w:pStyle w:val="2"/>
        <w:spacing w:before="156"/>
        <w:ind w:firstLine="602"/>
      </w:pPr>
      <w:bookmarkStart w:id="4" w:name="_Toc2988"/>
      <w:bookmarkStart w:id="5" w:name="_Toc26694"/>
      <w:r>
        <w:rPr>
          <w:rFonts w:hint="eastAsia"/>
        </w:rPr>
        <w:t>二、指导思想、基本原则和行动目标</w:t>
      </w:r>
      <w:bookmarkEnd w:id="4"/>
      <w:bookmarkEnd w:id="5"/>
    </w:p>
    <w:p>
      <w:pPr>
        <w:pStyle w:val="3"/>
        <w:ind w:firstLine="602"/>
      </w:pPr>
      <w:bookmarkStart w:id="6" w:name="_Toc11820"/>
      <w:bookmarkStart w:id="7" w:name="_Toc752"/>
      <w:r>
        <w:rPr>
          <w:rFonts w:hint="eastAsia"/>
        </w:rPr>
        <w:t>（一）指导思想</w:t>
      </w:r>
      <w:bookmarkEnd w:id="6"/>
      <w:bookmarkEnd w:id="7"/>
    </w:p>
    <w:p>
      <w:pPr>
        <w:spacing w:line="360" w:lineRule="auto"/>
        <w:ind w:firstLine="601"/>
        <w:rPr>
          <w:rFonts w:ascii="仿宋" w:hAnsi="仿宋" w:eastAsia="仿宋" w:cs="仿宋"/>
          <w:sz w:val="30"/>
          <w:szCs w:val="30"/>
        </w:rPr>
      </w:pPr>
      <w:r>
        <w:rPr>
          <w:rFonts w:hint="eastAsia" w:ascii="仿宋" w:hAnsi="仿宋" w:eastAsia="仿宋" w:cs="仿宋"/>
          <w:sz w:val="30"/>
          <w:szCs w:val="30"/>
        </w:rPr>
        <w:t>深入贯彻党的“十八大”以来的一系列方针政策，全面贯彻落实党的十九大会议精神，牢固树立“</w:t>
      </w:r>
      <w:r>
        <w:rPr>
          <w:rFonts w:hint="eastAsia" w:ascii="仿宋" w:hAnsi="仿宋" w:eastAsia="仿宋" w:cs="仿宋"/>
          <w:sz w:val="30"/>
          <w:szCs w:val="30"/>
          <w:shd w:val="clear" w:color="auto" w:fill="FFFFFF"/>
        </w:rPr>
        <w:t>创新、协调、绿色、开放、共享”五大发展理念，</w:t>
      </w:r>
      <w:r>
        <w:rPr>
          <w:rFonts w:hint="eastAsia" w:ascii="仿宋" w:hAnsi="仿宋" w:eastAsia="仿宋" w:cs="仿宋"/>
          <w:color w:val="auto"/>
          <w:sz w:val="30"/>
          <w:szCs w:val="30"/>
          <w:shd w:val="clear" w:color="auto" w:fill="FFFFFF"/>
          <w:lang w:eastAsia="zh-CN"/>
        </w:rPr>
        <w:t>推</w:t>
      </w:r>
      <w:r>
        <w:rPr>
          <w:rFonts w:hint="eastAsia" w:ascii="仿宋" w:hAnsi="仿宋" w:eastAsia="仿宋" w:cs="仿宋"/>
          <w:color w:val="auto"/>
          <w:sz w:val="30"/>
          <w:szCs w:val="30"/>
          <w:shd w:val="clear" w:color="auto" w:fill="FFFFFF"/>
        </w:rPr>
        <w:t>进糖业供给侧结构性改革进程，</w:t>
      </w:r>
      <w:r>
        <w:rPr>
          <w:rFonts w:hint="eastAsia" w:ascii="仿宋" w:hAnsi="仿宋" w:eastAsia="仿宋" w:cs="仿宋"/>
          <w:kern w:val="0"/>
          <w:sz w:val="30"/>
          <w:szCs w:val="30"/>
        </w:rPr>
        <w:t>以改革创新为动力，降本增效为目标，进一步落实《中国制造2025》、</w:t>
      </w:r>
      <w:r>
        <w:rPr>
          <w:rFonts w:hint="eastAsia" w:ascii="仿宋" w:hAnsi="仿宋" w:eastAsia="仿宋" w:cs="仿宋"/>
          <w:kern w:val="28"/>
          <w:sz w:val="30"/>
          <w:szCs w:val="30"/>
        </w:rPr>
        <w:t>《</w:t>
      </w:r>
      <w:r>
        <w:rPr>
          <w:rFonts w:hint="eastAsia" w:ascii="仿宋" w:hAnsi="仿宋" w:eastAsia="仿宋" w:cs="仿宋"/>
          <w:bCs/>
          <w:kern w:val="0"/>
          <w:sz w:val="30"/>
          <w:szCs w:val="30"/>
        </w:rPr>
        <w:t>关于开展消费品工业“三品”专项行动 营造良好市场环境的若干意见</w:t>
      </w:r>
      <w:r>
        <w:rPr>
          <w:rFonts w:hint="eastAsia" w:ascii="仿宋" w:hAnsi="仿宋" w:eastAsia="仿宋" w:cs="仿宋"/>
          <w:kern w:val="28"/>
          <w:sz w:val="30"/>
          <w:szCs w:val="30"/>
        </w:rPr>
        <w:t>》、</w:t>
      </w:r>
      <w:r>
        <w:rPr>
          <w:rFonts w:hint="eastAsia" w:ascii="仿宋" w:hAnsi="仿宋" w:eastAsia="仿宋" w:cs="仿宋"/>
          <w:kern w:val="0"/>
          <w:sz w:val="30"/>
          <w:szCs w:val="30"/>
        </w:rPr>
        <w:t>《糖料蔗主产区生产发展规划（2015—2020年）》、《推进广西甘蔗生产全程机械化行动方案》</w:t>
      </w:r>
      <w:r>
        <w:rPr>
          <w:rFonts w:hint="eastAsia" w:ascii="仿宋" w:hAnsi="仿宋" w:eastAsia="仿宋" w:cs="仿宋"/>
          <w:color w:val="000000" w:themeColor="text1"/>
          <w:kern w:val="0"/>
          <w:sz w:val="30"/>
          <w:szCs w:val="30"/>
        </w:rPr>
        <w:t>等政策措施</w:t>
      </w:r>
      <w:r>
        <w:rPr>
          <w:rFonts w:hint="eastAsia" w:ascii="仿宋" w:hAnsi="仿宋" w:eastAsia="仿宋" w:cs="仿宋"/>
          <w:kern w:val="0"/>
          <w:sz w:val="30"/>
          <w:szCs w:val="30"/>
        </w:rPr>
        <w:t>，全面提高行业内生动力和发展活力，推动我国糖业结构调整转型升级，提高</w:t>
      </w:r>
      <w:r>
        <w:rPr>
          <w:rFonts w:hint="eastAsia" w:ascii="仿宋" w:hAnsi="仿宋" w:eastAsia="仿宋" w:cs="仿宋"/>
          <w:kern w:val="0"/>
          <w:sz w:val="30"/>
          <w:szCs w:val="30"/>
          <w:lang w:eastAsia="zh-CN"/>
        </w:rPr>
        <w:t>我国食糖</w:t>
      </w:r>
      <w:r>
        <w:rPr>
          <w:rFonts w:hint="eastAsia" w:ascii="仿宋" w:hAnsi="仿宋" w:eastAsia="仿宋" w:cs="仿宋"/>
          <w:kern w:val="0"/>
          <w:sz w:val="30"/>
          <w:szCs w:val="30"/>
        </w:rPr>
        <w:t>保障供给能力，</w:t>
      </w:r>
      <w:r>
        <w:rPr>
          <w:rFonts w:hint="eastAsia" w:ascii="仿宋" w:hAnsi="仿宋" w:eastAsia="仿宋" w:cs="仿宋"/>
          <w:kern w:val="0"/>
          <w:sz w:val="30"/>
          <w:szCs w:val="30"/>
          <w:lang w:eastAsia="zh-CN"/>
        </w:rPr>
        <w:t>实现产业精准扶贫、农民增收和社会稳定</w:t>
      </w:r>
      <w:r>
        <w:rPr>
          <w:rFonts w:hint="eastAsia" w:ascii="仿宋" w:hAnsi="仿宋" w:eastAsia="仿宋" w:cs="仿宋"/>
          <w:kern w:val="0"/>
          <w:sz w:val="30"/>
          <w:szCs w:val="30"/>
        </w:rPr>
        <w:t>，实现糖业健康稳定持续发展</w:t>
      </w:r>
      <w:r>
        <w:rPr>
          <w:rFonts w:hint="eastAsia" w:ascii="仿宋" w:hAnsi="仿宋" w:eastAsia="仿宋" w:cs="仿宋"/>
          <w:sz w:val="30"/>
          <w:szCs w:val="30"/>
        </w:rPr>
        <w:t>。</w:t>
      </w:r>
    </w:p>
    <w:p>
      <w:pPr>
        <w:pStyle w:val="3"/>
      </w:pPr>
      <w:bookmarkStart w:id="8" w:name="_Toc26623"/>
      <w:bookmarkStart w:id="9" w:name="_Toc20037"/>
      <w:r>
        <w:rPr>
          <w:rFonts w:hint="eastAsia"/>
        </w:rPr>
        <w:t>（二）基本原则</w:t>
      </w:r>
      <w:bookmarkEnd w:id="8"/>
      <w:bookmarkEnd w:id="9"/>
    </w:p>
    <w:p>
      <w:pPr>
        <w:widowControl/>
        <w:spacing w:line="360" w:lineRule="auto"/>
        <w:ind w:firstLine="600" w:firstLineChars="200"/>
        <w:rPr>
          <w:rFonts w:ascii="仿宋" w:hAnsi="仿宋" w:eastAsia="仿宋" w:cs="仿宋"/>
          <w:kern w:val="0"/>
          <w:sz w:val="30"/>
          <w:szCs w:val="30"/>
        </w:rPr>
      </w:pPr>
      <w:r>
        <w:rPr>
          <w:rFonts w:hint="eastAsia" w:ascii="仿宋" w:hAnsi="仿宋" w:eastAsia="仿宋" w:cs="仿宋"/>
          <w:kern w:val="0"/>
          <w:sz w:val="30"/>
          <w:szCs w:val="30"/>
        </w:rPr>
        <w:t>1.坚持创新驱动与标杆引领相结合。创新行业发展理念，在政府领导下，探索农工、工商协同发展的新模式，加大科技和资金投入，努力提高糖料生产效率和制糖生产技术水平。以行业发展过程中的共性问题为突破口，通过科技创新，推广应用先进技术、先进装备，加强绩效对标工作，树立标杆企业，全面提升产业竞争力。</w:t>
      </w:r>
    </w:p>
    <w:p>
      <w:pPr>
        <w:widowControl/>
        <w:spacing w:line="360" w:lineRule="auto"/>
        <w:ind w:firstLine="600" w:firstLineChars="200"/>
        <w:rPr>
          <w:rFonts w:ascii="仿宋" w:hAnsi="仿宋" w:eastAsia="仿宋" w:cs="仿宋"/>
          <w:kern w:val="0"/>
          <w:sz w:val="30"/>
          <w:szCs w:val="30"/>
        </w:rPr>
      </w:pPr>
      <w:r>
        <w:rPr>
          <w:rFonts w:hint="eastAsia" w:ascii="仿宋" w:hAnsi="仿宋" w:eastAsia="仿宋" w:cs="仿宋"/>
          <w:kern w:val="0"/>
          <w:sz w:val="30"/>
          <w:szCs w:val="30"/>
        </w:rPr>
        <w:t>2.</w:t>
      </w:r>
      <w:r>
        <w:rPr>
          <w:rFonts w:hint="eastAsia" w:ascii="仿宋" w:hAnsi="仿宋" w:eastAsia="仿宋" w:cs="仿宋"/>
          <w:color w:val="000000" w:themeColor="text1"/>
          <w:kern w:val="0"/>
          <w:sz w:val="30"/>
          <w:szCs w:val="30"/>
        </w:rPr>
        <w:t>坚持供给侧改革和产业合理布局相结合</w:t>
      </w:r>
      <w:r>
        <w:rPr>
          <w:rFonts w:hint="eastAsia" w:ascii="仿宋" w:hAnsi="仿宋" w:eastAsia="仿宋" w:cs="仿宋"/>
          <w:kern w:val="0"/>
          <w:sz w:val="30"/>
          <w:szCs w:val="30"/>
        </w:rPr>
        <w:t>。综合考虑各产区自然资源禀赋条件和生产基础，统筹规划各产区食糖产能，引导行业调整甘蔗制糖、甜菜制糖和原糖加工合理布局，淘汰落后产能，加快供给侧改革步伐，促进我国糖业全面协调发展。</w:t>
      </w:r>
    </w:p>
    <w:p>
      <w:pPr>
        <w:pageBreakBefore w:val="0"/>
        <w:widowControl w:val="0"/>
        <w:kinsoku/>
        <w:wordWrap/>
        <w:overflowPunct/>
        <w:topLinePunct w:val="0"/>
        <w:autoSpaceDE/>
        <w:autoSpaceDN/>
        <w:bidi w:val="0"/>
        <w:adjustRightInd/>
        <w:spacing w:line="360" w:lineRule="auto"/>
        <w:ind w:left="0" w:leftChars="0" w:right="0" w:rightChars="0" w:firstLine="600" w:firstLineChars="200"/>
        <w:textAlignment w:val="auto"/>
        <w:rPr>
          <w:rFonts w:hint="eastAsia" w:ascii="仿宋" w:hAnsi="仿宋" w:eastAsia="仿宋" w:cs="仿宋"/>
          <w:kern w:val="0"/>
          <w:sz w:val="28"/>
          <w:szCs w:val="28"/>
        </w:rPr>
      </w:pPr>
      <w:r>
        <w:rPr>
          <w:rFonts w:hint="eastAsia" w:ascii="仿宋" w:hAnsi="仿宋" w:eastAsia="仿宋" w:cs="仿宋"/>
          <w:kern w:val="0"/>
          <w:sz w:val="30"/>
          <w:szCs w:val="30"/>
        </w:rPr>
        <w:t>3．坚持国家支持和行业落实相结合。政府部门在糖料主产区生产发展规划、食糖保障措施等政策措施基础上，进一步研究出台后续支持糖业发展的相关政策。中国糖业协会引领全行业积极落实《行动计划》，及时总结推广各省区、各企业的先进经验。各省区糖业主管部门、糖业协会组织企业认真实施《行动计划》各项任务。</w:t>
      </w:r>
      <w:r>
        <w:rPr>
          <w:rFonts w:hint="eastAsia" w:ascii="仿宋" w:hAnsi="仿宋" w:eastAsia="仿宋" w:cs="仿宋"/>
          <w:kern w:val="0"/>
          <w:sz w:val="28"/>
          <w:szCs w:val="28"/>
        </w:rPr>
        <w:t>企业是糖业转型升级的责任主体，各企业要发挥主观能动性，</w:t>
      </w:r>
      <w:r>
        <w:rPr>
          <w:rFonts w:hint="eastAsia" w:ascii="仿宋" w:hAnsi="仿宋" w:eastAsia="仿宋" w:cs="仿宋"/>
          <w:kern w:val="0"/>
          <w:sz w:val="30"/>
          <w:szCs w:val="30"/>
        </w:rPr>
        <w:t>认真履行职责，扎实工作，</w:t>
      </w:r>
      <w:r>
        <w:rPr>
          <w:rFonts w:hint="eastAsia" w:ascii="仿宋" w:hAnsi="仿宋" w:eastAsia="仿宋" w:cs="仿宋"/>
          <w:kern w:val="0"/>
          <w:sz w:val="28"/>
          <w:szCs w:val="28"/>
        </w:rPr>
        <w:t>加强管理，主动作为。</w:t>
      </w:r>
    </w:p>
    <w:p>
      <w:pPr>
        <w:pStyle w:val="3"/>
      </w:pPr>
      <w:bookmarkStart w:id="10" w:name="_Toc12189"/>
      <w:bookmarkStart w:id="11" w:name="_Toc19487"/>
      <w:r>
        <w:rPr>
          <w:rFonts w:hint="eastAsia"/>
        </w:rPr>
        <w:t>（三）行动目标</w:t>
      </w:r>
      <w:bookmarkEnd w:id="10"/>
      <w:bookmarkEnd w:id="11"/>
    </w:p>
    <w:p>
      <w:pPr>
        <w:widowControl/>
        <w:spacing w:line="360" w:lineRule="auto"/>
        <w:ind w:firstLine="600" w:firstLineChars="200"/>
        <w:rPr>
          <w:rFonts w:ascii="仿宋" w:hAnsi="仿宋" w:eastAsia="仿宋" w:cs="仿宋"/>
          <w:kern w:val="0"/>
          <w:sz w:val="30"/>
          <w:szCs w:val="30"/>
        </w:rPr>
      </w:pPr>
      <w:r>
        <w:rPr>
          <w:rFonts w:hint="eastAsia" w:ascii="仿宋" w:hAnsi="仿宋" w:eastAsia="仿宋" w:cs="仿宋"/>
          <w:kern w:val="0"/>
          <w:sz w:val="30"/>
          <w:szCs w:val="30"/>
        </w:rPr>
        <w:t>《行动计划》完成后，至2022年全国制糖行业实现“两个300元”目标，即在不提升糖料价格基础上，糖农每亩增收300元，制糖企业吨糖生产成本降低300元（见</w:t>
      </w:r>
      <w:r>
        <w:rPr>
          <w:rFonts w:hint="eastAsia" w:ascii="仿宋" w:hAnsi="仿宋" w:eastAsia="仿宋" w:cs="仿宋"/>
          <w:kern w:val="0"/>
          <w:sz w:val="28"/>
          <w:szCs w:val="28"/>
        </w:rPr>
        <w:t>行动目标分解表</w:t>
      </w:r>
      <w:r>
        <w:rPr>
          <w:rFonts w:hint="eastAsia" w:ascii="仿宋" w:hAnsi="仿宋" w:eastAsia="仿宋" w:cs="仿宋"/>
          <w:kern w:val="0"/>
          <w:sz w:val="30"/>
          <w:szCs w:val="30"/>
        </w:rPr>
        <w:t>）。</w:t>
      </w:r>
    </w:p>
    <w:tbl>
      <w:tblPr>
        <w:tblStyle w:val="16"/>
        <w:tblW w:w="86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4280"/>
        <w:gridCol w:w="3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627" w:type="dxa"/>
            <w:gridSpan w:val="3"/>
          </w:tcPr>
          <w:p>
            <w:pPr>
              <w:widowControl/>
              <w:spacing w:before="100" w:beforeAutospacing="1" w:after="100" w:afterAutospacing="1" w:line="326" w:lineRule="atLeast"/>
              <w:jc w:val="center"/>
              <w:rPr>
                <w:rFonts w:ascii="仿宋" w:hAnsi="仿宋" w:eastAsia="仿宋" w:cs="仿宋"/>
                <w:kern w:val="0"/>
                <w:sz w:val="28"/>
                <w:szCs w:val="28"/>
              </w:rPr>
            </w:pPr>
            <w:r>
              <w:rPr>
                <w:rFonts w:hint="eastAsia" w:ascii="仿宋" w:hAnsi="仿宋" w:eastAsia="仿宋" w:cs="仿宋"/>
                <w:kern w:val="0"/>
                <w:sz w:val="28"/>
                <w:szCs w:val="28"/>
              </w:rPr>
              <w:t>行动目标分解表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0" w:type="dxa"/>
          </w:tcPr>
          <w:p>
            <w:pPr>
              <w:widowControl/>
              <w:spacing w:before="100" w:beforeAutospacing="1" w:after="100" w:afterAutospacing="1" w:line="326" w:lineRule="atLeast"/>
              <w:jc w:val="center"/>
              <w:rPr>
                <w:rFonts w:ascii="仿宋" w:hAnsi="仿宋" w:eastAsia="仿宋" w:cs="仿宋"/>
                <w:kern w:val="0"/>
                <w:sz w:val="28"/>
                <w:szCs w:val="28"/>
              </w:rPr>
            </w:pPr>
            <w:bookmarkStart w:id="12" w:name="_Toc29334"/>
            <w:r>
              <w:rPr>
                <w:rFonts w:hint="eastAsia" w:ascii="仿宋" w:hAnsi="仿宋" w:eastAsia="仿宋" w:cs="仿宋"/>
                <w:kern w:val="0"/>
                <w:sz w:val="28"/>
                <w:szCs w:val="28"/>
              </w:rPr>
              <w:t>目标</w:t>
            </w:r>
          </w:p>
        </w:tc>
        <w:tc>
          <w:tcPr>
            <w:tcW w:w="4280" w:type="dxa"/>
          </w:tcPr>
          <w:p>
            <w:pPr>
              <w:widowControl/>
              <w:spacing w:before="100" w:beforeAutospacing="1" w:after="100" w:afterAutospacing="1" w:line="326" w:lineRule="atLeast"/>
              <w:jc w:val="center"/>
              <w:rPr>
                <w:rFonts w:ascii="仿宋" w:hAnsi="仿宋" w:eastAsia="仿宋" w:cs="仿宋"/>
                <w:kern w:val="0"/>
                <w:sz w:val="28"/>
                <w:szCs w:val="28"/>
              </w:rPr>
            </w:pPr>
            <w:r>
              <w:rPr>
                <w:rFonts w:hint="eastAsia" w:ascii="仿宋" w:hAnsi="仿宋" w:eastAsia="仿宋" w:cs="仿宋"/>
                <w:kern w:val="0"/>
                <w:sz w:val="28"/>
                <w:szCs w:val="28"/>
              </w:rPr>
              <w:t>目标分解</w:t>
            </w:r>
          </w:p>
        </w:tc>
        <w:tc>
          <w:tcPr>
            <w:tcW w:w="3557" w:type="dxa"/>
          </w:tcPr>
          <w:p>
            <w:pPr>
              <w:widowControl/>
              <w:spacing w:before="100" w:beforeAutospacing="1" w:after="100" w:afterAutospacing="1" w:line="326" w:lineRule="atLeast"/>
              <w:jc w:val="center"/>
              <w:rPr>
                <w:rFonts w:ascii="仿宋" w:hAnsi="仿宋" w:eastAsia="仿宋" w:cs="仿宋"/>
                <w:kern w:val="0"/>
                <w:sz w:val="28"/>
                <w:szCs w:val="28"/>
              </w:rPr>
            </w:pPr>
            <w:r>
              <w:rPr>
                <w:rFonts w:hint="eastAsia" w:ascii="仿宋" w:hAnsi="仿宋" w:eastAsia="仿宋" w:cs="仿宋"/>
                <w:kern w:val="0"/>
                <w:sz w:val="28"/>
                <w:szCs w:val="28"/>
              </w:rPr>
              <w:t>降本增收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0" w:type="dxa"/>
            <w:vMerge w:val="restart"/>
            <w:vAlign w:val="center"/>
          </w:tcPr>
          <w:p>
            <w:pPr>
              <w:widowControl/>
              <w:spacing w:before="100" w:beforeAutospacing="1" w:after="100" w:afterAutospacing="1" w:line="326" w:lineRule="atLeast"/>
              <w:jc w:val="center"/>
              <w:rPr>
                <w:rFonts w:ascii="仿宋" w:hAnsi="仿宋" w:eastAsia="仿宋" w:cs="仿宋"/>
                <w:kern w:val="0"/>
                <w:sz w:val="28"/>
                <w:szCs w:val="28"/>
              </w:rPr>
            </w:pPr>
            <w:r>
              <w:rPr>
                <w:rFonts w:hint="eastAsia" w:ascii="仿宋" w:hAnsi="仿宋" w:eastAsia="仿宋" w:cs="仿宋"/>
                <w:kern w:val="0"/>
                <w:sz w:val="28"/>
                <w:szCs w:val="28"/>
              </w:rPr>
              <w:t>糖农每亩增收300元</w:t>
            </w:r>
          </w:p>
        </w:tc>
        <w:tc>
          <w:tcPr>
            <w:tcW w:w="4280" w:type="dxa"/>
          </w:tcPr>
          <w:p>
            <w:pPr>
              <w:rPr>
                <w:rFonts w:ascii="仿宋" w:hAnsi="仿宋" w:eastAsia="仿宋" w:cs="仿宋"/>
                <w:kern w:val="0"/>
                <w:sz w:val="28"/>
                <w:szCs w:val="28"/>
              </w:rPr>
            </w:pPr>
            <w:r>
              <w:rPr>
                <w:rFonts w:hint="eastAsia" w:ascii="仿宋" w:hAnsi="仿宋" w:eastAsia="仿宋" w:cs="仿宋"/>
                <w:kern w:val="0"/>
                <w:sz w:val="28"/>
                <w:szCs w:val="28"/>
              </w:rPr>
              <w:t>建设“双高基地”，推广“良种良法”，使甘蔗单产</w:t>
            </w:r>
            <w:r>
              <w:rPr>
                <w:rFonts w:hint="eastAsia" w:ascii="仿宋" w:hAnsi="仿宋" w:eastAsia="仿宋" w:cs="仿宋"/>
                <w:kern w:val="0"/>
                <w:sz w:val="28"/>
                <w:szCs w:val="28"/>
                <w:lang w:eastAsia="zh-CN"/>
              </w:rPr>
              <w:t>由</w:t>
            </w:r>
            <w:r>
              <w:rPr>
                <w:rFonts w:hint="eastAsia" w:ascii="仿宋" w:hAnsi="仿宋" w:eastAsia="仿宋" w:cs="仿宋"/>
                <w:kern w:val="0"/>
                <w:sz w:val="28"/>
                <w:szCs w:val="28"/>
                <w:lang w:val="en-US" w:eastAsia="zh-CN"/>
              </w:rPr>
              <w:t>4.1吨/亩</w:t>
            </w:r>
            <w:r>
              <w:rPr>
                <w:rFonts w:hint="eastAsia" w:ascii="仿宋" w:hAnsi="仿宋" w:eastAsia="仿宋" w:cs="仿宋"/>
                <w:kern w:val="0"/>
                <w:sz w:val="28"/>
                <w:szCs w:val="28"/>
              </w:rPr>
              <w:t>提高到4.</w:t>
            </w:r>
            <w:r>
              <w:rPr>
                <w:rFonts w:hint="eastAsia" w:ascii="仿宋" w:hAnsi="仿宋" w:eastAsia="仿宋" w:cs="仿宋"/>
                <w:kern w:val="0"/>
                <w:sz w:val="28"/>
                <w:szCs w:val="28"/>
                <w:lang w:val="en-US" w:eastAsia="zh-CN"/>
              </w:rPr>
              <w:t>6</w:t>
            </w:r>
            <w:r>
              <w:rPr>
                <w:rFonts w:hint="eastAsia" w:ascii="仿宋" w:hAnsi="仿宋" w:eastAsia="仿宋" w:cs="仿宋"/>
                <w:kern w:val="0"/>
                <w:sz w:val="28"/>
                <w:szCs w:val="28"/>
              </w:rPr>
              <w:t>～4.</w:t>
            </w:r>
            <w:r>
              <w:rPr>
                <w:rFonts w:hint="eastAsia" w:ascii="仿宋" w:hAnsi="仿宋" w:eastAsia="仿宋" w:cs="仿宋"/>
                <w:kern w:val="0"/>
                <w:sz w:val="28"/>
                <w:szCs w:val="28"/>
                <w:lang w:val="en-US" w:eastAsia="zh-CN"/>
              </w:rPr>
              <w:t>9</w:t>
            </w:r>
            <w:r>
              <w:rPr>
                <w:rFonts w:hint="eastAsia" w:ascii="仿宋" w:hAnsi="仿宋" w:eastAsia="仿宋" w:cs="仿宋"/>
                <w:kern w:val="0"/>
                <w:sz w:val="28"/>
                <w:szCs w:val="28"/>
              </w:rPr>
              <w:t>吨/亩，甜菜单产</w:t>
            </w:r>
            <w:r>
              <w:rPr>
                <w:rFonts w:hint="eastAsia" w:ascii="仿宋" w:hAnsi="仿宋" w:eastAsia="仿宋" w:cs="仿宋"/>
                <w:kern w:val="0"/>
                <w:sz w:val="28"/>
                <w:szCs w:val="28"/>
                <w:lang w:eastAsia="zh-CN"/>
              </w:rPr>
              <w:t>由</w:t>
            </w:r>
            <w:r>
              <w:rPr>
                <w:rFonts w:hint="eastAsia" w:ascii="仿宋" w:hAnsi="仿宋" w:eastAsia="仿宋" w:cs="仿宋"/>
                <w:kern w:val="0"/>
                <w:sz w:val="28"/>
                <w:szCs w:val="28"/>
                <w:lang w:val="en-US" w:eastAsia="zh-CN"/>
              </w:rPr>
              <w:t>3.7吨/亩</w:t>
            </w:r>
            <w:r>
              <w:rPr>
                <w:rFonts w:hint="eastAsia" w:ascii="仿宋" w:hAnsi="仿宋" w:eastAsia="仿宋" w:cs="仿宋"/>
                <w:kern w:val="0"/>
                <w:sz w:val="28"/>
                <w:szCs w:val="28"/>
              </w:rPr>
              <w:t>提高到4.</w:t>
            </w: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～4.</w:t>
            </w:r>
            <w:r>
              <w:rPr>
                <w:rFonts w:hint="eastAsia" w:ascii="仿宋" w:hAnsi="仿宋" w:eastAsia="仿宋" w:cs="仿宋"/>
                <w:kern w:val="0"/>
                <w:sz w:val="28"/>
                <w:szCs w:val="28"/>
                <w:lang w:val="en-US" w:eastAsia="zh-CN"/>
              </w:rPr>
              <w:t>5</w:t>
            </w:r>
            <w:r>
              <w:rPr>
                <w:rFonts w:hint="eastAsia" w:ascii="仿宋" w:hAnsi="仿宋" w:eastAsia="仿宋" w:cs="仿宋"/>
                <w:kern w:val="0"/>
                <w:sz w:val="28"/>
                <w:szCs w:val="28"/>
              </w:rPr>
              <w:t>吨/亩，全国平均提高单产0.5～0.8吨/亩。</w:t>
            </w:r>
          </w:p>
        </w:tc>
        <w:tc>
          <w:tcPr>
            <w:tcW w:w="3557" w:type="dxa"/>
          </w:tcPr>
          <w:p>
            <w:pPr>
              <w:widowControl/>
              <w:spacing w:before="100" w:beforeAutospacing="1" w:after="100" w:afterAutospacing="1" w:line="326" w:lineRule="atLeast"/>
              <w:jc w:val="left"/>
              <w:rPr>
                <w:rFonts w:ascii="仿宋" w:hAnsi="仿宋" w:eastAsia="仿宋" w:cs="仿宋"/>
                <w:kern w:val="0"/>
                <w:sz w:val="28"/>
                <w:szCs w:val="28"/>
              </w:rPr>
            </w:pPr>
            <w:r>
              <w:rPr>
                <w:rFonts w:hint="eastAsia" w:ascii="仿宋" w:hAnsi="仿宋" w:eastAsia="仿宋" w:cs="仿宋"/>
                <w:kern w:val="0"/>
                <w:sz w:val="28"/>
                <w:szCs w:val="28"/>
              </w:rPr>
              <w:t>按目前全国糖料平均价格，提高单产0.5～0.8吨计，糖农每亩增收240～390元/亩。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2" w:hRule="atLeast"/>
          <w:jc w:val="center"/>
        </w:trPr>
        <w:tc>
          <w:tcPr>
            <w:tcW w:w="790" w:type="dxa"/>
            <w:vMerge w:val="continue"/>
          </w:tcPr>
          <w:p>
            <w:pPr>
              <w:widowControl/>
              <w:spacing w:before="100" w:beforeAutospacing="1" w:after="100" w:afterAutospacing="1" w:line="326" w:lineRule="atLeast"/>
              <w:rPr>
                <w:rFonts w:ascii="仿宋" w:hAnsi="仿宋" w:eastAsia="仿宋" w:cs="仿宋"/>
                <w:kern w:val="0"/>
                <w:sz w:val="28"/>
                <w:szCs w:val="28"/>
              </w:rPr>
            </w:pPr>
          </w:p>
        </w:tc>
        <w:tc>
          <w:tcPr>
            <w:tcW w:w="4280" w:type="dxa"/>
          </w:tcPr>
          <w:p>
            <w:pPr>
              <w:rPr>
                <w:rFonts w:ascii="仿宋" w:hAnsi="仿宋" w:eastAsia="仿宋" w:cs="仿宋"/>
                <w:kern w:val="0"/>
                <w:sz w:val="28"/>
                <w:szCs w:val="28"/>
              </w:rPr>
            </w:pPr>
            <w:r>
              <w:rPr>
                <w:rFonts w:hint="eastAsia" w:ascii="仿宋" w:hAnsi="仿宋" w:eastAsia="仿宋" w:cs="仿宋"/>
                <w:color w:val="000000" w:themeColor="text1"/>
                <w:kern w:val="0"/>
                <w:sz w:val="28"/>
                <w:szCs w:val="28"/>
              </w:rPr>
              <w:t>推</w:t>
            </w:r>
            <w:r>
              <w:rPr>
                <w:rFonts w:hint="eastAsia" w:ascii="仿宋" w:hAnsi="仿宋" w:eastAsia="仿宋" w:cs="仿宋"/>
                <w:kern w:val="0"/>
                <w:sz w:val="28"/>
                <w:szCs w:val="28"/>
              </w:rPr>
              <w:t>行糖料生产机械化，使甘蔗机播率由</w:t>
            </w:r>
            <w:r>
              <w:rPr>
                <w:rFonts w:hint="eastAsia" w:ascii="仿宋" w:hAnsi="仿宋" w:eastAsia="仿宋" w:cs="仿宋"/>
                <w:kern w:val="0"/>
                <w:sz w:val="28"/>
                <w:szCs w:val="28"/>
                <w:lang w:val="en-US" w:eastAsia="zh-CN"/>
              </w:rPr>
              <w:t>40</w:t>
            </w:r>
            <w:r>
              <w:rPr>
                <w:rFonts w:hint="eastAsia" w:ascii="仿宋" w:hAnsi="仿宋" w:eastAsia="仿宋" w:cs="仿宋"/>
                <w:kern w:val="0"/>
                <w:sz w:val="28"/>
                <w:szCs w:val="28"/>
              </w:rPr>
              <w:t>%提高到</w:t>
            </w:r>
            <w:r>
              <w:rPr>
                <w:rFonts w:hint="eastAsia" w:ascii="仿宋" w:hAnsi="仿宋" w:eastAsia="仿宋" w:cs="仿宋"/>
                <w:kern w:val="0"/>
                <w:sz w:val="28"/>
                <w:szCs w:val="28"/>
                <w:lang w:val="en-US" w:eastAsia="zh-CN"/>
              </w:rPr>
              <w:t>7</w:t>
            </w:r>
            <w:r>
              <w:rPr>
                <w:rFonts w:hint="eastAsia" w:ascii="仿宋" w:hAnsi="仿宋" w:eastAsia="仿宋" w:cs="仿宋"/>
                <w:kern w:val="0"/>
                <w:sz w:val="28"/>
                <w:szCs w:val="28"/>
              </w:rPr>
              <w:t>0%，甘蔗机收率由4%提高到20%；甜菜机播率由80%提高到98%，甜菜机收率由60%提高到90%。</w:t>
            </w:r>
          </w:p>
        </w:tc>
        <w:tc>
          <w:tcPr>
            <w:tcW w:w="3557" w:type="dxa"/>
          </w:tcPr>
          <w:p>
            <w:pPr>
              <w:widowControl/>
              <w:spacing w:before="100" w:beforeAutospacing="1" w:after="100" w:afterAutospacing="1" w:line="326" w:lineRule="atLeast"/>
              <w:rPr>
                <w:rFonts w:ascii="仿宋" w:hAnsi="仿宋" w:eastAsia="仿宋" w:cs="仿宋"/>
                <w:kern w:val="0"/>
                <w:sz w:val="28"/>
                <w:szCs w:val="28"/>
              </w:rPr>
            </w:pPr>
            <w:r>
              <w:rPr>
                <w:rFonts w:hint="eastAsia" w:ascii="仿宋" w:hAnsi="仿宋" w:eastAsia="仿宋" w:cs="仿宋"/>
                <w:kern w:val="0"/>
                <w:sz w:val="28"/>
                <w:szCs w:val="28"/>
              </w:rPr>
              <w:t>按甘蔗机播降本70元/亩，甘蔗机收降本300元/亩，甜菜机播降本100元/亩，甜菜机收降本200元/亩计，推广机械化全国糖农平均可增收</w:t>
            </w:r>
            <w:r>
              <w:rPr>
                <w:rFonts w:hint="eastAsia" w:ascii="仿宋" w:hAnsi="仿宋" w:eastAsia="仿宋" w:cs="仿宋"/>
                <w:kern w:val="0"/>
                <w:sz w:val="28"/>
                <w:szCs w:val="28"/>
                <w:lang w:val="en-US" w:eastAsia="zh-CN"/>
              </w:rPr>
              <w:t>70</w:t>
            </w:r>
            <w:r>
              <w:rPr>
                <w:rFonts w:hint="eastAsia" w:ascii="仿宋" w:hAnsi="仿宋" w:eastAsia="仿宋" w:cs="仿宋"/>
                <w:kern w:val="0"/>
                <w:sz w:val="28"/>
                <w:szCs w:val="28"/>
              </w:rPr>
              <w:t>元/亩。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0" w:type="dxa"/>
            <w:vMerge w:val="restart"/>
          </w:tcPr>
          <w:p>
            <w:pPr>
              <w:widowControl/>
              <w:spacing w:before="100" w:beforeAutospacing="1" w:after="100" w:afterAutospacing="1" w:line="326" w:lineRule="atLeast"/>
              <w:rPr>
                <w:rFonts w:ascii="仿宋" w:hAnsi="仿宋" w:eastAsia="仿宋" w:cs="仿宋"/>
                <w:kern w:val="0"/>
                <w:sz w:val="28"/>
                <w:szCs w:val="28"/>
              </w:rPr>
            </w:pPr>
          </w:p>
          <w:p>
            <w:pPr>
              <w:widowControl/>
              <w:spacing w:before="100" w:beforeAutospacing="1" w:after="100" w:afterAutospacing="1" w:line="326" w:lineRule="atLeast"/>
              <w:rPr>
                <w:rFonts w:ascii="仿宋" w:hAnsi="仿宋" w:eastAsia="仿宋" w:cs="仿宋"/>
                <w:kern w:val="0"/>
                <w:sz w:val="28"/>
                <w:szCs w:val="28"/>
              </w:rPr>
            </w:pPr>
          </w:p>
          <w:p>
            <w:pPr>
              <w:widowControl/>
              <w:spacing w:before="100" w:beforeAutospacing="1" w:after="100" w:afterAutospacing="1" w:line="326" w:lineRule="atLeast"/>
              <w:rPr>
                <w:rFonts w:ascii="仿宋" w:hAnsi="仿宋" w:eastAsia="仿宋" w:cs="仿宋"/>
                <w:kern w:val="0"/>
                <w:sz w:val="28"/>
                <w:szCs w:val="28"/>
              </w:rPr>
            </w:pPr>
            <w:r>
              <w:rPr>
                <w:rFonts w:hint="eastAsia" w:ascii="仿宋" w:hAnsi="仿宋" w:eastAsia="仿宋" w:cs="仿宋"/>
                <w:kern w:val="0"/>
                <w:sz w:val="28"/>
                <w:szCs w:val="28"/>
              </w:rPr>
              <w:t>糖厂吨糖降低成本300元</w:t>
            </w:r>
          </w:p>
        </w:tc>
        <w:tc>
          <w:tcPr>
            <w:tcW w:w="4280" w:type="dxa"/>
          </w:tcPr>
          <w:p>
            <w:pPr>
              <w:widowControl/>
              <w:spacing w:before="100" w:beforeAutospacing="1" w:after="100" w:afterAutospacing="1" w:line="326" w:lineRule="atLeast"/>
              <w:rPr>
                <w:rFonts w:ascii="仿宋" w:hAnsi="仿宋" w:eastAsia="仿宋" w:cs="仿宋"/>
                <w:kern w:val="0"/>
                <w:sz w:val="28"/>
                <w:szCs w:val="28"/>
              </w:rPr>
            </w:pPr>
            <w:r>
              <w:rPr>
                <w:rFonts w:hint="eastAsia" w:ascii="仿宋" w:hAnsi="仿宋" w:eastAsia="仿宋" w:cs="仿宋"/>
                <w:kern w:val="0"/>
                <w:sz w:val="28"/>
                <w:szCs w:val="28"/>
              </w:rPr>
              <w:t>建设“双高基地”、实施“高糖高榨”：分别提高含糖分0.3～0.5个百分点，两项合计提高含糖分0.6～1.0个百分点，可使产糖率提高0.5～0.8个百分点。</w:t>
            </w:r>
          </w:p>
        </w:tc>
        <w:tc>
          <w:tcPr>
            <w:tcW w:w="3557" w:type="dxa"/>
          </w:tcPr>
          <w:p>
            <w:pPr>
              <w:widowControl/>
              <w:spacing w:before="100" w:beforeAutospacing="1" w:after="100" w:afterAutospacing="1" w:line="326" w:lineRule="atLeast"/>
              <w:rPr>
                <w:rFonts w:ascii="仿宋" w:hAnsi="仿宋" w:eastAsia="仿宋" w:cs="仿宋"/>
                <w:kern w:val="0"/>
                <w:sz w:val="28"/>
                <w:szCs w:val="28"/>
              </w:rPr>
            </w:pPr>
            <w:r>
              <w:rPr>
                <w:rFonts w:hint="eastAsia" w:ascii="仿宋" w:hAnsi="仿宋" w:eastAsia="仿宋" w:cs="仿宋"/>
                <w:kern w:val="0"/>
                <w:sz w:val="28"/>
                <w:szCs w:val="28"/>
              </w:rPr>
              <w:t>按目前全国糖料平均价格，产糖率提高到12.</w:t>
            </w:r>
            <w:r>
              <w:rPr>
                <w:rFonts w:hint="eastAsia" w:ascii="仿宋" w:hAnsi="仿宋" w:eastAsia="仿宋" w:cs="仿宋"/>
                <w:kern w:val="0"/>
                <w:sz w:val="28"/>
                <w:szCs w:val="28"/>
                <w:lang w:val="en-US" w:eastAsia="zh-CN"/>
              </w:rPr>
              <w:t>4</w:t>
            </w:r>
            <w:r>
              <w:rPr>
                <w:rFonts w:hint="eastAsia" w:ascii="仿宋" w:hAnsi="仿宋" w:eastAsia="仿宋" w:cs="仿宋"/>
                <w:kern w:val="0"/>
                <w:sz w:val="28"/>
                <w:szCs w:val="28"/>
              </w:rPr>
              <w:t>%～12.</w:t>
            </w:r>
            <w:r>
              <w:rPr>
                <w:rFonts w:hint="eastAsia" w:ascii="仿宋" w:hAnsi="仿宋" w:eastAsia="仿宋" w:cs="仿宋"/>
                <w:kern w:val="0"/>
                <w:sz w:val="28"/>
                <w:szCs w:val="28"/>
                <w:lang w:val="en-US" w:eastAsia="zh-CN"/>
              </w:rPr>
              <w:t>7</w:t>
            </w:r>
            <w:r>
              <w:rPr>
                <w:rFonts w:hint="eastAsia" w:ascii="仿宋" w:hAnsi="仿宋" w:eastAsia="仿宋" w:cs="仿宋"/>
                <w:kern w:val="0"/>
                <w:sz w:val="28"/>
                <w:szCs w:val="28"/>
              </w:rPr>
              <w:t>%计，降低成本170～2</w:t>
            </w:r>
            <w:r>
              <w:rPr>
                <w:rFonts w:hint="eastAsia" w:ascii="仿宋" w:hAnsi="仿宋" w:eastAsia="仿宋" w:cs="仿宋"/>
                <w:kern w:val="0"/>
                <w:sz w:val="28"/>
                <w:szCs w:val="28"/>
                <w:lang w:val="en-US" w:eastAsia="zh-CN"/>
              </w:rPr>
              <w:t>60</w:t>
            </w:r>
            <w:r>
              <w:rPr>
                <w:rFonts w:hint="eastAsia" w:ascii="仿宋" w:hAnsi="仿宋" w:eastAsia="仿宋" w:cs="仿宋"/>
                <w:kern w:val="0"/>
                <w:sz w:val="28"/>
                <w:szCs w:val="28"/>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0" w:type="dxa"/>
            <w:vMerge w:val="continue"/>
          </w:tcPr>
          <w:p>
            <w:pPr>
              <w:widowControl/>
              <w:spacing w:before="100" w:beforeAutospacing="1" w:after="100" w:afterAutospacing="1" w:line="326" w:lineRule="atLeast"/>
              <w:rPr>
                <w:rFonts w:ascii="仿宋" w:hAnsi="仿宋" w:eastAsia="仿宋" w:cs="仿宋"/>
                <w:kern w:val="0"/>
                <w:sz w:val="28"/>
                <w:szCs w:val="28"/>
              </w:rPr>
            </w:pPr>
          </w:p>
        </w:tc>
        <w:tc>
          <w:tcPr>
            <w:tcW w:w="4280" w:type="dxa"/>
          </w:tcPr>
          <w:p>
            <w:pPr>
              <w:widowControl/>
              <w:spacing w:before="100" w:beforeAutospacing="1" w:after="100" w:afterAutospacing="1" w:line="326" w:lineRule="atLeast"/>
              <w:rPr>
                <w:rFonts w:ascii="仿宋" w:hAnsi="仿宋" w:eastAsia="仿宋" w:cs="仿宋"/>
                <w:kern w:val="0"/>
                <w:sz w:val="28"/>
                <w:szCs w:val="28"/>
              </w:rPr>
            </w:pPr>
            <w:r>
              <w:rPr>
                <w:rFonts w:hint="eastAsia" w:ascii="仿宋" w:hAnsi="仿宋" w:eastAsia="仿宋" w:cs="仿宋"/>
                <w:kern w:val="0"/>
                <w:sz w:val="28"/>
                <w:szCs w:val="28"/>
              </w:rPr>
              <w:t>开展对标活动，采用国际国内先进技术、先进工艺、先进装备实施技术装备改造，提高生产效率，使吨糖成本降低2%～5%。</w:t>
            </w:r>
          </w:p>
        </w:tc>
        <w:tc>
          <w:tcPr>
            <w:tcW w:w="3557" w:type="dxa"/>
          </w:tcPr>
          <w:p>
            <w:pPr>
              <w:widowControl/>
              <w:spacing w:before="100" w:beforeAutospacing="1" w:after="100" w:afterAutospacing="1" w:line="326" w:lineRule="atLeast"/>
              <w:rPr>
                <w:rFonts w:ascii="仿宋" w:hAnsi="仿宋" w:eastAsia="仿宋" w:cs="仿宋"/>
                <w:kern w:val="0"/>
                <w:sz w:val="28"/>
                <w:szCs w:val="28"/>
              </w:rPr>
            </w:pPr>
            <w:r>
              <w:rPr>
                <w:rFonts w:hint="eastAsia" w:ascii="仿宋" w:hAnsi="仿宋" w:eastAsia="仿宋" w:cs="仿宋"/>
                <w:kern w:val="0"/>
                <w:sz w:val="28"/>
                <w:szCs w:val="28"/>
              </w:rPr>
              <w:t>按目前吨糖成本降低2%～5%计，吨糖成本降低120～300元/吨。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790" w:type="dxa"/>
            <w:vMerge w:val="continue"/>
          </w:tcPr>
          <w:p>
            <w:pPr>
              <w:widowControl/>
              <w:spacing w:before="100" w:beforeAutospacing="1" w:after="100" w:afterAutospacing="1" w:line="326" w:lineRule="atLeast"/>
              <w:rPr>
                <w:rFonts w:ascii="仿宋" w:hAnsi="仿宋" w:eastAsia="仿宋" w:cs="仿宋"/>
                <w:kern w:val="0"/>
                <w:sz w:val="28"/>
                <w:szCs w:val="28"/>
              </w:rPr>
            </w:pPr>
          </w:p>
        </w:tc>
        <w:tc>
          <w:tcPr>
            <w:tcW w:w="4280" w:type="dxa"/>
          </w:tcPr>
          <w:p>
            <w:pPr>
              <w:pStyle w:val="23"/>
              <w:widowControl/>
              <w:spacing w:before="100" w:beforeAutospacing="1" w:after="100" w:afterAutospacing="1" w:line="326" w:lineRule="atLeast"/>
              <w:ind w:firstLine="0" w:firstLineChars="0"/>
              <w:rPr>
                <w:rFonts w:ascii="仿宋" w:hAnsi="仿宋" w:eastAsia="仿宋" w:cs="仿宋"/>
                <w:kern w:val="0"/>
                <w:sz w:val="28"/>
                <w:szCs w:val="28"/>
              </w:rPr>
            </w:pPr>
            <w:r>
              <w:rPr>
                <w:rFonts w:hint="eastAsia" w:ascii="仿宋" w:hAnsi="仿宋" w:eastAsia="仿宋" w:cs="仿宋"/>
                <w:kern w:val="0"/>
                <w:sz w:val="28"/>
                <w:szCs w:val="28"/>
              </w:rPr>
              <w:t>推行绿色制造技术，使百吨糖料能耗下降10%。按全国平均百吨糖料耗标煤4.9吨计，下降10%相当于百吨糖料能耗下降0.49吨。</w:t>
            </w:r>
          </w:p>
        </w:tc>
        <w:tc>
          <w:tcPr>
            <w:tcW w:w="3557" w:type="dxa"/>
          </w:tcPr>
          <w:p>
            <w:pPr>
              <w:pStyle w:val="23"/>
              <w:widowControl/>
              <w:spacing w:before="100" w:beforeAutospacing="1" w:after="100" w:afterAutospacing="1" w:line="326" w:lineRule="atLeast"/>
              <w:ind w:firstLine="0" w:firstLineChars="0"/>
              <w:rPr>
                <w:rFonts w:ascii="仿宋" w:hAnsi="仿宋" w:eastAsia="仿宋" w:cs="仿宋"/>
                <w:kern w:val="0"/>
                <w:sz w:val="28"/>
                <w:szCs w:val="28"/>
              </w:rPr>
            </w:pPr>
            <w:r>
              <w:rPr>
                <w:rFonts w:hint="eastAsia" w:ascii="仿宋" w:hAnsi="仿宋" w:eastAsia="仿宋" w:cs="仿宋"/>
                <w:kern w:val="0"/>
                <w:sz w:val="28"/>
                <w:szCs w:val="28"/>
              </w:rPr>
              <w:t>按目前标煤价计，能耗下降0.49吨，产糖率12.</w:t>
            </w:r>
            <w:r>
              <w:rPr>
                <w:rFonts w:hint="eastAsia" w:ascii="仿宋" w:hAnsi="仿宋" w:eastAsia="仿宋" w:cs="仿宋"/>
                <w:kern w:val="0"/>
                <w:sz w:val="28"/>
                <w:szCs w:val="28"/>
                <w:lang w:val="en-US" w:eastAsia="zh-CN"/>
              </w:rPr>
              <w:t>4</w:t>
            </w:r>
            <w:r>
              <w:rPr>
                <w:rFonts w:hint="eastAsia" w:ascii="仿宋" w:hAnsi="仿宋" w:eastAsia="仿宋" w:cs="仿宋"/>
                <w:kern w:val="0"/>
                <w:sz w:val="28"/>
                <w:szCs w:val="28"/>
              </w:rPr>
              <w:t>%～12.</w:t>
            </w:r>
            <w:r>
              <w:rPr>
                <w:rFonts w:hint="eastAsia" w:ascii="仿宋" w:hAnsi="仿宋" w:eastAsia="仿宋" w:cs="仿宋"/>
                <w:kern w:val="0"/>
                <w:sz w:val="28"/>
                <w:szCs w:val="28"/>
                <w:lang w:val="en-US" w:eastAsia="zh-CN"/>
              </w:rPr>
              <w:t>7</w:t>
            </w:r>
            <w:r>
              <w:rPr>
                <w:rFonts w:hint="eastAsia" w:ascii="仿宋" w:hAnsi="仿宋" w:eastAsia="仿宋" w:cs="仿宋"/>
                <w:kern w:val="0"/>
                <w:sz w:val="28"/>
                <w:szCs w:val="28"/>
              </w:rPr>
              <w:t>%计，吨糖降低成本40元。</w:t>
            </w:r>
          </w:p>
        </w:tc>
      </w:tr>
    </w:tbl>
    <w:p>
      <w:pPr>
        <w:keepNext w:val="0"/>
        <w:keepLines w:val="0"/>
        <w:pageBreakBefore w:val="0"/>
        <w:widowControl/>
        <w:kinsoku/>
        <w:wordWrap/>
        <w:overflowPunct/>
        <w:topLinePunct w:val="0"/>
        <w:autoSpaceDE/>
        <w:autoSpaceDN/>
        <w:bidi w:val="0"/>
        <w:adjustRightInd/>
        <w:snapToGrid/>
        <w:spacing w:before="157" w:beforeLines="50" w:line="360" w:lineRule="auto"/>
        <w:ind w:left="0" w:leftChars="0" w:right="0" w:rightChars="0" w:firstLine="600" w:firstLineChars="200"/>
        <w:jc w:val="both"/>
        <w:textAlignment w:val="auto"/>
        <w:outlineLvl w:val="9"/>
        <w:rPr>
          <w:rFonts w:ascii="仿宋" w:hAnsi="仿宋" w:eastAsia="仿宋" w:cs="仿宋"/>
          <w:kern w:val="0"/>
          <w:sz w:val="30"/>
          <w:szCs w:val="30"/>
        </w:rPr>
      </w:pPr>
      <w:r>
        <w:rPr>
          <w:rFonts w:hint="eastAsia" w:ascii="仿宋" w:hAnsi="仿宋" w:eastAsia="仿宋" w:cs="仿宋"/>
          <w:kern w:val="0"/>
          <w:sz w:val="30"/>
          <w:szCs w:val="30"/>
        </w:rPr>
        <w:t>全行业要以此为行动目标，抓住当前实施食糖保障措施等机遇，着力推进糖料生产的良种良法和全程机械化进程，提高糖料单产、含糖和糖农种植收益；扎实做好绩效对标管理，加快糖厂适用技术推广和技术改造步伐，使制糖行业物耗、能耗及污染排放进一步下降，制糖装备自动化、智能化程度明显提高，食糖品种、品质和品牌建设取得新进展，行业降本增效和转型升级取得明显成效。</w:t>
      </w:r>
    </w:p>
    <w:p>
      <w:pPr>
        <w:pStyle w:val="2"/>
        <w:spacing w:before="156"/>
        <w:ind w:firstLine="602"/>
      </w:pPr>
      <w:bookmarkStart w:id="13" w:name="_Toc6477"/>
      <w:r>
        <w:rPr>
          <w:rFonts w:hint="eastAsia"/>
        </w:rPr>
        <w:t>三、重点任务</w:t>
      </w:r>
      <w:bookmarkEnd w:id="12"/>
      <w:bookmarkEnd w:id="13"/>
    </w:p>
    <w:p>
      <w:pPr>
        <w:pStyle w:val="3"/>
      </w:pPr>
      <w:bookmarkStart w:id="14" w:name="_Toc8610"/>
      <w:bookmarkStart w:id="15" w:name="_Toc31232"/>
      <w:r>
        <w:rPr>
          <w:rFonts w:hint="eastAsia"/>
        </w:rPr>
        <w:t>（一）创新发展理念，探索行业发展新模式</w:t>
      </w:r>
      <w:bookmarkEnd w:id="14"/>
      <w:bookmarkEnd w:id="15"/>
    </w:p>
    <w:p>
      <w:pPr>
        <w:widowControl/>
        <w:spacing w:line="360" w:lineRule="auto"/>
        <w:ind w:firstLine="560"/>
        <w:rPr>
          <w:rFonts w:ascii="仿宋" w:hAnsi="仿宋" w:eastAsia="仿宋" w:cs="仿宋"/>
          <w:kern w:val="0"/>
          <w:sz w:val="30"/>
          <w:szCs w:val="30"/>
        </w:rPr>
      </w:pPr>
      <w:r>
        <w:rPr>
          <w:rFonts w:hint="eastAsia" w:ascii="仿宋" w:hAnsi="仿宋" w:eastAsia="仿宋" w:cs="仿宋"/>
          <w:kern w:val="0"/>
          <w:sz w:val="30"/>
          <w:szCs w:val="30"/>
        </w:rPr>
        <w:t>牢固树立和谐发展理念，建立全产业链利益均衡模式。以共享行业利益为基础，创新思维，积极探索行业发展新模式。推进工业反哺农业机制向农工利益一体化方向发展，通过利益纽带稳定农工关系，支持制糖企业主导或参与糖料生产合作组织建设，让糖农在享受种植利益的同时分享加工等环节的增值效益。积极构建以企业为主体，高校、研究机构为依托的产学研协同创新体系，围绕行业发展面临的问题攻克一批关键共性技术，加快攻关成果产业化步伐，大力推广先进适用技术，为行业降本增效、转型升级提供技术支撑。逐步完善和规范市场经营行为，充分发挥各类市场平台和市场机制服务实体经济的基本功能，进一步巩固和发展利益共享、风险共担的工商合作关系。</w:t>
      </w:r>
    </w:p>
    <w:p>
      <w:pPr>
        <w:pStyle w:val="3"/>
      </w:pPr>
      <w:bookmarkStart w:id="16" w:name="_Toc7238"/>
      <w:bookmarkStart w:id="17" w:name="_Toc27109"/>
      <w:r>
        <w:rPr>
          <w:rFonts w:hint="eastAsia"/>
        </w:rPr>
        <w:t>（二）稳定糖料区划分，加强糖料管理</w:t>
      </w:r>
      <w:bookmarkEnd w:id="16"/>
      <w:bookmarkEnd w:id="17"/>
    </w:p>
    <w:p>
      <w:pPr>
        <w:widowControl/>
        <w:spacing w:line="360" w:lineRule="auto"/>
        <w:ind w:firstLine="600" w:firstLineChars="200"/>
        <w:rPr>
          <w:rFonts w:ascii="仿宋" w:hAnsi="仿宋" w:eastAsia="仿宋" w:cs="仿宋"/>
          <w:sz w:val="30"/>
          <w:szCs w:val="30"/>
          <w:shd w:val="clear" w:color="auto" w:fill="FFFFFF"/>
        </w:rPr>
      </w:pPr>
      <w:r>
        <w:rPr>
          <w:rFonts w:hint="eastAsia" w:ascii="仿宋" w:hAnsi="仿宋" w:eastAsia="仿宋" w:cs="仿宋"/>
          <w:sz w:val="30"/>
          <w:szCs w:val="30"/>
          <w:shd w:val="clear" w:color="auto" w:fill="FFFFFF"/>
        </w:rPr>
        <w:t>认真贯彻落实好国家四部委颁布的《糖料管理暂行办法》（第23号令）和地方蔗区管理有关规定，借鉴世界主要产糖国糖料生产通行管理模式，稳定糖料区划分。</w:t>
      </w:r>
      <w:r>
        <w:rPr>
          <w:rFonts w:hint="eastAsia" w:ascii="仿宋" w:hAnsi="仿宋" w:eastAsia="仿宋" w:cs="仿宋"/>
          <w:sz w:val="30"/>
          <w:szCs w:val="30"/>
        </w:rPr>
        <w:t>做好糖料蔗生产保护区的规划和建设，</w:t>
      </w:r>
      <w:r>
        <w:rPr>
          <w:rFonts w:hint="eastAsia" w:ascii="仿宋" w:hAnsi="仿宋" w:eastAsia="仿宋" w:cs="仿宋"/>
          <w:sz w:val="30"/>
          <w:szCs w:val="30"/>
          <w:shd w:val="clear" w:color="auto" w:fill="FFFFFF"/>
        </w:rPr>
        <w:t>加强糖料区划管理，鼓励制糖企业积极参与糖料基地建设。按照区划种植、收购糖料，按照区划内糖料“谁服务、谁受益”的原则，保持良好的糖料收购秩序。根据实际情况逐步推进入厂糖料按糖分计价，遵循糖料糖分积累的自然规律，选择糖分最高时段适时安排开榨，争取制糖生产高糖高榨。优化甘蔗砍运管理，提高砍蔗效率，尽力缩短甘蔗砍后滞留时间，确保甘蔗高糖先砍、新鲜入榨。通过此项管理措施，使全国糖厂平均提高糖料含糖分</w:t>
      </w:r>
      <w:r>
        <w:rPr>
          <w:rFonts w:hint="eastAsia" w:ascii="仿宋" w:hAnsi="仿宋" w:eastAsia="仿宋" w:cs="仿宋"/>
          <w:kern w:val="0"/>
          <w:sz w:val="30"/>
          <w:szCs w:val="30"/>
        </w:rPr>
        <w:t>0.3～0.5</w:t>
      </w:r>
      <w:r>
        <w:rPr>
          <w:rFonts w:hint="eastAsia" w:ascii="仿宋" w:hAnsi="仿宋" w:eastAsia="仿宋" w:cs="仿宋"/>
          <w:sz w:val="30"/>
          <w:szCs w:val="30"/>
          <w:shd w:val="clear" w:color="auto" w:fill="FFFFFF"/>
        </w:rPr>
        <w:t>个百分点。</w:t>
      </w:r>
    </w:p>
    <w:p>
      <w:pPr>
        <w:pStyle w:val="3"/>
      </w:pPr>
      <w:bookmarkStart w:id="18" w:name="_Toc1524"/>
      <w:bookmarkStart w:id="19" w:name="_Toc25642"/>
      <w:r>
        <w:rPr>
          <w:rFonts w:hint="eastAsia"/>
        </w:rPr>
        <w:t>（三）推进糖料生产良种良法，提高单产和含糖</w:t>
      </w:r>
      <w:bookmarkEnd w:id="18"/>
      <w:bookmarkEnd w:id="19"/>
    </w:p>
    <w:p>
      <w:pPr>
        <w:keepNext w:val="0"/>
        <w:keepLines w:val="0"/>
        <w:pageBreakBefore w:val="0"/>
        <w:widowControl/>
        <w:kinsoku/>
        <w:wordWrap/>
        <w:overflowPunct/>
        <w:topLinePunct w:val="0"/>
        <w:autoSpaceDE/>
        <w:autoSpaceDN/>
        <w:bidi w:val="0"/>
        <w:adjustRightInd/>
        <w:snapToGrid/>
        <w:spacing w:after="157" w:afterLines="50" w:line="360" w:lineRule="auto"/>
        <w:ind w:left="0" w:leftChars="0" w:right="0" w:rightChars="0" w:firstLine="573" w:firstLineChars="0"/>
        <w:jc w:val="both"/>
        <w:textAlignment w:val="auto"/>
        <w:outlineLvl w:val="9"/>
        <w:rPr>
          <w:rFonts w:ascii="仿宋" w:hAnsi="仿宋" w:eastAsia="仿宋" w:cs="仿宋"/>
          <w:sz w:val="30"/>
          <w:szCs w:val="30"/>
        </w:rPr>
      </w:pPr>
      <w:r>
        <w:rPr>
          <w:rFonts w:hint="eastAsia" w:ascii="仿宋" w:hAnsi="仿宋" w:eastAsia="仿宋" w:cs="仿宋"/>
          <w:sz w:val="30"/>
          <w:szCs w:val="30"/>
        </w:rPr>
        <w:t>抓好《糖料蔗主产区生产发展规划（2015—2020年）》的落实，加快“双高”基地建设步伐，着力推进土地整合、节水灌溉和规模种植，改善糖料生产条件；加快优良新品种选育推广，扩大脱毒种苗栽培面积，优化糖料品种栽培结构，提高糖料良种覆盖率；全面推广综合农艺措施，包括测土施肥、深耕深松、地膜覆盖、甜菜纸筒育苗、病虫害防治等实用技术，利用“互联网+”等服务平台，为糖农提供适时技术指导，提高科学种田水平。通过综合施策，使全国糖料含糖分平均提高</w:t>
      </w:r>
      <w:r>
        <w:rPr>
          <w:rFonts w:hint="eastAsia" w:ascii="仿宋" w:hAnsi="仿宋" w:eastAsia="仿宋" w:cs="仿宋"/>
          <w:kern w:val="0"/>
          <w:sz w:val="30"/>
          <w:szCs w:val="30"/>
        </w:rPr>
        <w:t>0.3～0.5</w:t>
      </w:r>
      <w:r>
        <w:rPr>
          <w:rFonts w:hint="eastAsia" w:ascii="仿宋" w:hAnsi="仿宋" w:eastAsia="仿宋" w:cs="仿宋"/>
          <w:sz w:val="30"/>
          <w:szCs w:val="30"/>
        </w:rPr>
        <w:t>度，单产平均提高0</w:t>
      </w:r>
      <w:r>
        <w:rPr>
          <w:rFonts w:hint="eastAsia" w:ascii="仿宋" w:hAnsi="仿宋" w:eastAsia="仿宋" w:cs="仿宋"/>
          <w:kern w:val="0"/>
          <w:sz w:val="30"/>
          <w:szCs w:val="30"/>
        </w:rPr>
        <w:t>.5～0.8吨（见专栏一）</w:t>
      </w:r>
      <w:r>
        <w:rPr>
          <w:rFonts w:hint="eastAsia" w:ascii="仿宋" w:hAnsi="仿宋" w:eastAsia="仿宋" w:cs="仿宋"/>
          <w:sz w:val="30"/>
          <w:szCs w:val="30"/>
        </w:rPr>
        <w:t>。</w:t>
      </w: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7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2"/>
          </w:tcPr>
          <w:p>
            <w:pPr>
              <w:widowControl/>
              <w:spacing w:line="360" w:lineRule="auto"/>
              <w:jc w:val="center"/>
              <w:rPr>
                <w:rFonts w:ascii="仿宋" w:hAnsi="仿宋" w:eastAsia="仿宋" w:cs="仿宋"/>
                <w:kern w:val="0"/>
                <w:sz w:val="30"/>
                <w:szCs w:val="30"/>
              </w:rPr>
            </w:pPr>
            <w:bookmarkStart w:id="20" w:name="_Toc10572"/>
            <w:r>
              <w:rPr>
                <w:rFonts w:hint="eastAsia" w:ascii="仿宋" w:hAnsi="仿宋" w:eastAsia="仿宋" w:cs="仿宋"/>
                <w:kern w:val="0"/>
                <w:sz w:val="30"/>
                <w:szCs w:val="30"/>
              </w:rPr>
              <w:t>专栏一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Pr>
          <w:p>
            <w:pPr>
              <w:widowControl/>
              <w:spacing w:line="360" w:lineRule="auto"/>
              <w:jc w:val="center"/>
              <w:rPr>
                <w:rFonts w:ascii="仿宋" w:hAnsi="仿宋" w:eastAsia="仿宋" w:cs="仿宋"/>
                <w:kern w:val="0"/>
                <w:sz w:val="30"/>
                <w:szCs w:val="30"/>
              </w:rPr>
            </w:pPr>
            <w:r>
              <w:rPr>
                <w:rFonts w:hint="eastAsia" w:ascii="仿宋" w:hAnsi="仿宋" w:eastAsia="仿宋" w:cs="仿宋"/>
                <w:kern w:val="0"/>
                <w:sz w:val="30"/>
                <w:szCs w:val="30"/>
              </w:rPr>
              <w:t>措施</w:t>
            </w:r>
          </w:p>
        </w:tc>
        <w:tc>
          <w:tcPr>
            <w:tcW w:w="7514" w:type="dxa"/>
          </w:tcPr>
          <w:p>
            <w:pPr>
              <w:widowControl/>
              <w:spacing w:line="360" w:lineRule="auto"/>
              <w:jc w:val="center"/>
              <w:rPr>
                <w:rFonts w:ascii="仿宋" w:hAnsi="仿宋" w:eastAsia="仿宋" w:cs="仿宋"/>
                <w:kern w:val="0"/>
                <w:sz w:val="30"/>
                <w:szCs w:val="30"/>
              </w:rPr>
            </w:pPr>
            <w:r>
              <w:rPr>
                <w:rFonts w:hint="eastAsia" w:ascii="仿宋" w:hAnsi="仿宋" w:eastAsia="仿宋" w:cs="仿宋"/>
                <w:kern w:val="0"/>
                <w:sz w:val="30"/>
                <w:szCs w:val="30"/>
              </w:rPr>
              <w:t>技    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Pr>
          <w:p>
            <w:pPr>
              <w:widowControl/>
              <w:spacing w:line="360" w:lineRule="auto"/>
              <w:jc w:val="center"/>
              <w:rPr>
                <w:rFonts w:ascii="仿宋" w:hAnsi="仿宋" w:eastAsia="仿宋" w:cs="仿宋"/>
                <w:kern w:val="0"/>
                <w:sz w:val="30"/>
                <w:szCs w:val="30"/>
              </w:rPr>
            </w:pPr>
            <w:r>
              <w:rPr>
                <w:rFonts w:hint="eastAsia" w:ascii="仿宋" w:hAnsi="仿宋" w:eastAsia="仿宋" w:cs="仿宋"/>
                <w:kern w:val="0"/>
                <w:sz w:val="30"/>
                <w:szCs w:val="30"/>
              </w:rPr>
              <w:t>良种</w:t>
            </w:r>
          </w:p>
        </w:tc>
        <w:tc>
          <w:tcPr>
            <w:tcW w:w="7514" w:type="dxa"/>
          </w:tcPr>
          <w:p>
            <w:pPr>
              <w:widowControl/>
              <w:spacing w:line="360" w:lineRule="auto"/>
              <w:rPr>
                <w:rFonts w:ascii="仿宋" w:hAnsi="仿宋" w:eastAsia="仿宋" w:cs="仿宋"/>
                <w:kern w:val="0"/>
                <w:sz w:val="30"/>
                <w:szCs w:val="30"/>
              </w:rPr>
            </w:pPr>
            <w:r>
              <w:rPr>
                <w:rFonts w:hint="eastAsia" w:ascii="仿宋" w:hAnsi="仿宋" w:eastAsia="仿宋" w:cs="仿宋"/>
                <w:kern w:val="0"/>
                <w:sz w:val="30"/>
                <w:szCs w:val="30"/>
              </w:rPr>
              <w:t>加快优良品种选育与推广，按早、中、晚熟品种合理搭配。因地制宜选择桂糖、云蔗、粤糖、福农等甘蔗新品种和国内外甜菜新品种，形成科学合理的区域性品种多系布局。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tcPr>
          <w:p>
            <w:pPr>
              <w:widowControl/>
              <w:spacing w:line="360" w:lineRule="auto"/>
              <w:jc w:val="center"/>
              <w:rPr>
                <w:rFonts w:ascii="仿宋" w:hAnsi="仿宋" w:eastAsia="仿宋" w:cs="仿宋"/>
                <w:kern w:val="0"/>
                <w:sz w:val="30"/>
                <w:szCs w:val="30"/>
              </w:rPr>
            </w:pPr>
            <w:r>
              <w:rPr>
                <w:rFonts w:hint="eastAsia" w:ascii="仿宋" w:hAnsi="仿宋" w:eastAsia="仿宋" w:cs="仿宋"/>
                <w:kern w:val="0"/>
                <w:sz w:val="30"/>
                <w:szCs w:val="30"/>
              </w:rPr>
              <w:t>良法</w:t>
            </w:r>
          </w:p>
        </w:tc>
        <w:tc>
          <w:tcPr>
            <w:tcW w:w="7514" w:type="dxa"/>
          </w:tcPr>
          <w:p>
            <w:pPr>
              <w:widowControl/>
              <w:spacing w:line="360" w:lineRule="auto"/>
              <w:rPr>
                <w:rFonts w:ascii="仿宋" w:hAnsi="仿宋" w:eastAsia="仿宋" w:cs="仿宋"/>
                <w:kern w:val="0"/>
                <w:sz w:val="30"/>
                <w:szCs w:val="30"/>
              </w:rPr>
            </w:pPr>
            <w:r>
              <w:rPr>
                <w:rFonts w:hint="eastAsia" w:ascii="仿宋" w:hAnsi="仿宋" w:eastAsia="仿宋" w:cs="仿宋"/>
                <w:kern w:val="0"/>
                <w:sz w:val="30"/>
                <w:szCs w:val="30"/>
              </w:rPr>
              <w:t>加大糖料生产良法推广力度，重点推广甘蔗脱毒种苗及配套栽培技术，病虫害综合防治技术，甘蔗“水、肥、药”精准施用技术，甘蔗轻简协同提质增效关键技术，甘蔗节水灌溉及高效施肥关键技术，适用于糖料生产机械化的综合配套技术，</w:t>
            </w:r>
            <w:r>
              <w:rPr>
                <w:rFonts w:hint="eastAsia" w:ascii="仿宋" w:hAnsi="仿宋" w:eastAsia="仿宋" w:cs="仿宋"/>
                <w:bCs/>
                <w:sz w:val="30"/>
                <w:szCs w:val="30"/>
              </w:rPr>
              <w:t>旱作区甜菜节本增效综合栽培技术等。</w:t>
            </w:r>
          </w:p>
        </w:tc>
      </w:tr>
    </w:tbl>
    <w:p>
      <w:pPr>
        <w:pStyle w:val="3"/>
      </w:pPr>
      <w:bookmarkStart w:id="21" w:name="_Toc22451"/>
      <w:r>
        <w:rPr>
          <w:rFonts w:hint="eastAsia"/>
        </w:rPr>
        <w:t>（四）推进糖料生产机械化，降低种植成本</w:t>
      </w:r>
      <w:bookmarkEnd w:id="20"/>
      <w:bookmarkEnd w:id="21"/>
    </w:p>
    <w:p>
      <w:pPr>
        <w:widowControl/>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积极引进、消化吸收国外糖料生产机械化技术，加快国产机械研发、制造，结合农业部等四部委关于《推进广西甘蔗生产全程机械化行动方案》“五大行动”的落实，促进农机农艺结合，因地制宜推进机械化采收，积极推进糖料生产的整地、种植、中耕植保、收割全程机械化水平,尤其是要加快推进糖料收割机械化水平。依托各地科研院所，着力解决关键技术研发攻关，综合考虑地形地貌、经营规模、机具作业效率等因素，因地制宜推进大型、中型、小型等不同类型机械研发。根据机械使用中的问题不断完善改进，同时进行制糖工艺和设备改造以适应机收糖料的需要。通过国家、农机制造商和制糖企业的共同努力，到2022年使甘蔗机播率由</w:t>
      </w:r>
      <w:r>
        <w:rPr>
          <w:rFonts w:hint="eastAsia" w:ascii="仿宋" w:hAnsi="仿宋" w:eastAsia="仿宋" w:cs="仿宋"/>
          <w:sz w:val="30"/>
          <w:szCs w:val="30"/>
          <w:lang w:val="en-US" w:eastAsia="zh-CN"/>
        </w:rPr>
        <w:t>4</w:t>
      </w:r>
      <w:r>
        <w:rPr>
          <w:rFonts w:hint="eastAsia" w:ascii="仿宋" w:hAnsi="仿宋" w:eastAsia="仿宋" w:cs="仿宋"/>
          <w:sz w:val="30"/>
          <w:szCs w:val="30"/>
        </w:rPr>
        <w:t>0%提高到</w:t>
      </w:r>
      <w:r>
        <w:rPr>
          <w:rFonts w:hint="eastAsia" w:ascii="仿宋" w:hAnsi="仿宋" w:eastAsia="仿宋" w:cs="仿宋"/>
          <w:sz w:val="30"/>
          <w:szCs w:val="30"/>
          <w:lang w:val="en-US" w:eastAsia="zh-CN"/>
        </w:rPr>
        <w:t>7</w:t>
      </w:r>
      <w:bookmarkStart w:id="37" w:name="_GoBack"/>
      <w:bookmarkEnd w:id="37"/>
      <w:r>
        <w:rPr>
          <w:rFonts w:hint="eastAsia" w:ascii="仿宋" w:hAnsi="仿宋" w:eastAsia="仿宋" w:cs="仿宋"/>
          <w:sz w:val="30"/>
          <w:szCs w:val="30"/>
        </w:rPr>
        <w:t>0%，甘蔗机收率由4%提高到20%；甜菜机播率由80%提高到98%以上，甜菜机收率由60%提高到90%。</w:t>
      </w:r>
    </w:p>
    <w:p>
      <w:pPr>
        <w:pStyle w:val="3"/>
      </w:pPr>
      <w:bookmarkStart w:id="22" w:name="_Toc5771"/>
      <w:bookmarkStart w:id="23" w:name="_Toc21883"/>
      <w:r>
        <w:rPr>
          <w:rFonts w:hint="eastAsia"/>
        </w:rPr>
        <w:t>（五）深入开展对标与升级改造，提高制糖生产绩效</w:t>
      </w:r>
      <w:bookmarkEnd w:id="22"/>
      <w:bookmarkEnd w:id="23"/>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ascii="仿宋" w:hAnsi="仿宋" w:eastAsia="仿宋" w:cs="仿宋"/>
          <w:kern w:val="0"/>
          <w:sz w:val="30"/>
          <w:szCs w:val="30"/>
        </w:rPr>
      </w:pPr>
      <w:r>
        <w:rPr>
          <w:rFonts w:hint="eastAsia" w:ascii="仿宋" w:hAnsi="仿宋" w:eastAsia="仿宋" w:cs="仿宋"/>
          <w:kern w:val="0"/>
          <w:sz w:val="30"/>
          <w:szCs w:val="30"/>
        </w:rPr>
        <w:t>深入开展“绩效同业对标”活动，以问题为导向，学习标杆，苦练内功，对症施策，补齐短板，不断提高企业生产绩效。在对标实践中，非标杆企业以标杆企业为榜样，标杆企业以国际先进企业为榜样，对照榜样找差距，通过加大科技资金投入，采用国内外先进技术、先进工艺、先进装备升级改造，加强企业管理，达到赶超标杆、提升生产绩效的目的。到2022年，通过对标与升级改造，使全行业吨糖成本降低</w:t>
      </w:r>
      <w:r>
        <w:rPr>
          <w:rFonts w:hint="eastAsia" w:ascii="仿宋" w:hAnsi="仿宋" w:eastAsia="仿宋" w:cs="仿宋"/>
          <w:kern w:val="0"/>
          <w:sz w:val="28"/>
          <w:szCs w:val="28"/>
        </w:rPr>
        <w:t>2%～5%</w:t>
      </w:r>
      <w:r>
        <w:rPr>
          <w:rFonts w:hint="eastAsia" w:ascii="仿宋" w:hAnsi="仿宋" w:eastAsia="仿宋" w:cs="仿宋"/>
          <w:kern w:val="0"/>
          <w:sz w:val="30"/>
          <w:szCs w:val="30"/>
        </w:rPr>
        <w:t>（见专栏二）。</w:t>
      </w: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6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2"/>
          </w:tcPr>
          <w:p>
            <w:pPr>
              <w:widowControl/>
              <w:spacing w:line="360" w:lineRule="auto"/>
              <w:ind w:firstLine="600" w:firstLineChars="200"/>
              <w:jc w:val="center"/>
              <w:rPr>
                <w:rFonts w:ascii="仿宋" w:hAnsi="仿宋" w:eastAsia="仿宋" w:cs="仿宋"/>
                <w:kern w:val="0"/>
                <w:sz w:val="30"/>
                <w:szCs w:val="30"/>
              </w:rPr>
            </w:pPr>
            <w:bookmarkStart w:id="24" w:name="_Toc8106"/>
            <w:r>
              <w:rPr>
                <w:rFonts w:hint="eastAsia" w:ascii="仿宋" w:hAnsi="仿宋" w:eastAsia="仿宋" w:cs="仿宋"/>
                <w:sz w:val="30"/>
                <w:szCs w:val="30"/>
              </w:rPr>
              <w:t>专栏二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8" w:type="dxa"/>
          </w:tcPr>
          <w:p>
            <w:pPr>
              <w:pStyle w:val="23"/>
              <w:widowControl/>
              <w:spacing w:line="360" w:lineRule="auto"/>
              <w:ind w:firstLine="0" w:firstLineChars="0"/>
              <w:jc w:val="center"/>
              <w:rPr>
                <w:rFonts w:ascii="仿宋" w:hAnsi="仿宋" w:eastAsia="仿宋" w:cs="仿宋"/>
                <w:sz w:val="30"/>
                <w:szCs w:val="30"/>
              </w:rPr>
            </w:pPr>
            <w:r>
              <w:rPr>
                <w:rFonts w:hint="eastAsia" w:ascii="仿宋" w:hAnsi="仿宋" w:eastAsia="仿宋" w:cs="仿宋"/>
                <w:sz w:val="30"/>
                <w:szCs w:val="30"/>
              </w:rPr>
              <w:t>工序</w:t>
            </w:r>
          </w:p>
        </w:tc>
        <w:tc>
          <w:tcPr>
            <w:tcW w:w="6794" w:type="dxa"/>
          </w:tcPr>
          <w:p>
            <w:pPr>
              <w:widowControl/>
              <w:spacing w:line="360" w:lineRule="auto"/>
              <w:jc w:val="center"/>
              <w:rPr>
                <w:rFonts w:ascii="仿宋" w:hAnsi="仿宋" w:eastAsia="仿宋" w:cs="仿宋"/>
                <w:kern w:val="0"/>
                <w:sz w:val="30"/>
                <w:szCs w:val="30"/>
              </w:rPr>
            </w:pPr>
            <w:r>
              <w:rPr>
                <w:rFonts w:hint="eastAsia" w:ascii="仿宋" w:hAnsi="仿宋" w:eastAsia="仿宋" w:cs="仿宋"/>
                <w:kern w:val="0"/>
                <w:sz w:val="30"/>
                <w:szCs w:val="30"/>
              </w:rPr>
              <w:t>技术与装备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8" w:type="dxa"/>
          </w:tcPr>
          <w:p>
            <w:pPr>
              <w:pStyle w:val="23"/>
              <w:widowControl/>
              <w:spacing w:line="360" w:lineRule="auto"/>
              <w:ind w:firstLine="0" w:firstLineChars="0"/>
              <w:jc w:val="center"/>
              <w:rPr>
                <w:rFonts w:ascii="仿宋" w:hAnsi="仿宋" w:eastAsia="仿宋" w:cs="仿宋"/>
                <w:sz w:val="30"/>
                <w:szCs w:val="30"/>
              </w:rPr>
            </w:pPr>
            <w:r>
              <w:rPr>
                <w:rFonts w:hint="eastAsia" w:ascii="仿宋" w:hAnsi="仿宋" w:eastAsia="仿宋" w:cs="仿宋"/>
                <w:sz w:val="30"/>
                <w:szCs w:val="30"/>
              </w:rPr>
              <w:t>预处理</w:t>
            </w:r>
          </w:p>
        </w:tc>
        <w:tc>
          <w:tcPr>
            <w:tcW w:w="6794" w:type="dxa"/>
          </w:tcPr>
          <w:p>
            <w:pPr>
              <w:widowControl/>
              <w:spacing w:line="360" w:lineRule="auto"/>
              <w:jc w:val="left"/>
              <w:rPr>
                <w:rFonts w:ascii="仿宋" w:hAnsi="仿宋" w:eastAsia="仿宋" w:cs="仿宋"/>
                <w:kern w:val="0"/>
                <w:sz w:val="30"/>
                <w:szCs w:val="30"/>
              </w:rPr>
            </w:pPr>
            <w:r>
              <w:rPr>
                <w:rFonts w:hint="eastAsia" w:ascii="仿宋" w:hAnsi="仿宋" w:eastAsia="仿宋" w:cs="仿宋"/>
                <w:sz w:val="30"/>
                <w:szCs w:val="30"/>
              </w:rPr>
              <w:t>甘蔗自动卸车除土除杂技术，</w:t>
            </w:r>
            <w:r>
              <w:rPr>
                <w:rFonts w:hint="eastAsia" w:ascii="仿宋" w:hAnsi="仿宋" w:eastAsia="仿宋" w:cs="仿宋"/>
                <w:kern w:val="0"/>
                <w:sz w:val="30"/>
                <w:szCs w:val="30"/>
              </w:rPr>
              <w:t>预处理与压榨生产线自动控制技术，</w:t>
            </w:r>
            <w:r>
              <w:rPr>
                <w:rFonts w:hint="eastAsia" w:ascii="仿宋" w:hAnsi="仿宋" w:eastAsia="仿宋" w:cs="仿宋"/>
                <w:sz w:val="30"/>
                <w:szCs w:val="30"/>
              </w:rPr>
              <w:t>甜菜自动清土除杂堆垛机，甜菜预处理干法输送技术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8" w:type="dxa"/>
          </w:tcPr>
          <w:p>
            <w:pPr>
              <w:pStyle w:val="23"/>
              <w:widowControl/>
              <w:spacing w:line="360" w:lineRule="auto"/>
              <w:ind w:firstLine="0" w:firstLineChars="0"/>
              <w:jc w:val="center"/>
              <w:rPr>
                <w:rFonts w:ascii="仿宋" w:hAnsi="仿宋" w:eastAsia="仿宋" w:cs="仿宋"/>
                <w:sz w:val="30"/>
                <w:szCs w:val="30"/>
              </w:rPr>
            </w:pPr>
            <w:r>
              <w:rPr>
                <w:rFonts w:hint="eastAsia" w:ascii="仿宋" w:hAnsi="仿宋" w:eastAsia="仿宋" w:cs="仿宋"/>
                <w:sz w:val="30"/>
                <w:szCs w:val="30"/>
              </w:rPr>
              <w:t>提汁</w:t>
            </w:r>
          </w:p>
        </w:tc>
        <w:tc>
          <w:tcPr>
            <w:tcW w:w="6794" w:type="dxa"/>
          </w:tcPr>
          <w:p>
            <w:pPr>
              <w:widowControl/>
              <w:spacing w:line="360" w:lineRule="auto"/>
              <w:jc w:val="left"/>
              <w:rPr>
                <w:rFonts w:ascii="仿宋" w:hAnsi="仿宋" w:eastAsia="仿宋" w:cs="仿宋"/>
                <w:kern w:val="0"/>
                <w:sz w:val="30"/>
                <w:szCs w:val="30"/>
              </w:rPr>
            </w:pPr>
            <w:r>
              <w:rPr>
                <w:rFonts w:hint="eastAsia" w:ascii="仿宋" w:hAnsi="仿宋" w:eastAsia="仿宋" w:cs="仿宋"/>
                <w:kern w:val="0"/>
                <w:sz w:val="30"/>
                <w:szCs w:val="30"/>
              </w:rPr>
              <w:t>大型高效甘蔗压榨机组，甘蔗双辊喂料器，柔性联轴器，甘蔗压榨节能与清洁生产技术，大型高效甜菜切丝机、甜菜渗出器、甜菜粕压榨机，压粕水回用技术，制糖工业葡聚糖快速检测与清除技术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8" w:type="dxa"/>
          </w:tcPr>
          <w:p>
            <w:pPr>
              <w:pStyle w:val="23"/>
              <w:widowControl/>
              <w:spacing w:line="360" w:lineRule="auto"/>
              <w:ind w:firstLine="0" w:firstLineChars="0"/>
              <w:jc w:val="center"/>
              <w:rPr>
                <w:rFonts w:ascii="仿宋" w:hAnsi="仿宋" w:eastAsia="仿宋" w:cs="仿宋"/>
                <w:sz w:val="30"/>
                <w:szCs w:val="30"/>
              </w:rPr>
            </w:pPr>
            <w:r>
              <w:rPr>
                <w:rFonts w:hint="eastAsia" w:ascii="仿宋" w:hAnsi="仿宋" w:eastAsia="仿宋" w:cs="仿宋"/>
                <w:sz w:val="30"/>
                <w:szCs w:val="30"/>
              </w:rPr>
              <w:t>澄清过滤</w:t>
            </w:r>
          </w:p>
        </w:tc>
        <w:tc>
          <w:tcPr>
            <w:tcW w:w="6794" w:type="dxa"/>
          </w:tcPr>
          <w:p>
            <w:pPr>
              <w:widowControl/>
              <w:spacing w:line="360" w:lineRule="auto"/>
              <w:jc w:val="left"/>
              <w:rPr>
                <w:rFonts w:ascii="仿宋" w:hAnsi="仿宋" w:eastAsia="仿宋" w:cs="仿宋"/>
                <w:kern w:val="0"/>
                <w:sz w:val="30"/>
                <w:szCs w:val="30"/>
              </w:rPr>
            </w:pPr>
            <w:r>
              <w:rPr>
                <w:rFonts w:hint="eastAsia" w:ascii="仿宋" w:hAnsi="仿宋" w:eastAsia="仿宋" w:cs="仿宋"/>
                <w:kern w:val="0"/>
                <w:sz w:val="30"/>
                <w:szCs w:val="30"/>
              </w:rPr>
              <w:t>绿色制糖新工艺，硫熏强度在线自动检测技术，</w:t>
            </w:r>
            <w:r>
              <w:rPr>
                <w:rFonts w:hint="eastAsia" w:ascii="仿宋" w:hAnsi="仿宋" w:eastAsia="仿宋" w:cs="仿宋"/>
                <w:sz w:val="30"/>
                <w:szCs w:val="30"/>
              </w:rPr>
              <w:t>环保高效燃硫炉，高效过滤机，</w:t>
            </w:r>
            <w:r>
              <w:rPr>
                <w:rFonts w:hint="eastAsia" w:ascii="仿宋" w:hAnsi="仿宋" w:eastAsia="仿宋" w:cs="仿宋"/>
                <w:kern w:val="0"/>
                <w:sz w:val="30"/>
                <w:szCs w:val="30"/>
              </w:rPr>
              <w:t>全自控混合汁上浮澄清装置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8" w:type="dxa"/>
          </w:tcPr>
          <w:p>
            <w:pPr>
              <w:pStyle w:val="23"/>
              <w:widowControl/>
              <w:spacing w:line="360" w:lineRule="auto"/>
              <w:ind w:firstLine="0" w:firstLineChars="0"/>
              <w:jc w:val="center"/>
              <w:rPr>
                <w:rFonts w:ascii="仿宋" w:hAnsi="仿宋" w:eastAsia="仿宋" w:cs="仿宋"/>
                <w:sz w:val="30"/>
                <w:szCs w:val="30"/>
              </w:rPr>
            </w:pPr>
            <w:r>
              <w:rPr>
                <w:rFonts w:hint="eastAsia" w:ascii="仿宋" w:hAnsi="仿宋" w:eastAsia="仿宋" w:cs="仿宋"/>
                <w:sz w:val="30"/>
                <w:szCs w:val="30"/>
              </w:rPr>
              <w:t>加热蒸发</w:t>
            </w:r>
          </w:p>
        </w:tc>
        <w:tc>
          <w:tcPr>
            <w:tcW w:w="6794" w:type="dxa"/>
          </w:tcPr>
          <w:p>
            <w:pPr>
              <w:widowControl/>
              <w:spacing w:line="360" w:lineRule="auto"/>
              <w:jc w:val="left"/>
              <w:rPr>
                <w:rFonts w:ascii="仿宋" w:hAnsi="仿宋" w:eastAsia="仿宋" w:cs="仿宋"/>
                <w:kern w:val="0"/>
                <w:sz w:val="30"/>
                <w:szCs w:val="30"/>
              </w:rPr>
            </w:pPr>
            <w:r>
              <w:rPr>
                <w:rFonts w:hint="eastAsia" w:ascii="仿宋" w:hAnsi="仿宋" w:eastAsia="仿宋" w:cs="仿宋"/>
                <w:sz w:val="30"/>
                <w:szCs w:val="30"/>
              </w:rPr>
              <w:t>糖厂热能集中优化及控制技术，换热装置能效提升技术（膜式蒸发技术、板式加热蒸发技术、MVR技术），低品质热源利用技术，加热、蒸发装置积垢自动清洗技术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8" w:type="dxa"/>
          </w:tcPr>
          <w:p>
            <w:pPr>
              <w:pStyle w:val="23"/>
              <w:widowControl/>
              <w:spacing w:line="360" w:lineRule="auto"/>
              <w:ind w:firstLine="0" w:firstLineChars="0"/>
              <w:jc w:val="center"/>
              <w:rPr>
                <w:rFonts w:ascii="仿宋" w:hAnsi="仿宋" w:eastAsia="仿宋" w:cs="仿宋"/>
                <w:sz w:val="30"/>
                <w:szCs w:val="30"/>
              </w:rPr>
            </w:pPr>
            <w:r>
              <w:rPr>
                <w:rFonts w:hint="eastAsia" w:ascii="仿宋" w:hAnsi="仿宋" w:eastAsia="仿宋" w:cs="仿宋"/>
                <w:sz w:val="30"/>
                <w:szCs w:val="30"/>
              </w:rPr>
              <w:t>煮炼助晶</w:t>
            </w:r>
          </w:p>
        </w:tc>
        <w:tc>
          <w:tcPr>
            <w:tcW w:w="6794" w:type="dxa"/>
          </w:tcPr>
          <w:p>
            <w:pPr>
              <w:widowControl/>
              <w:spacing w:line="360" w:lineRule="auto"/>
              <w:jc w:val="left"/>
              <w:rPr>
                <w:rFonts w:ascii="仿宋" w:hAnsi="仿宋" w:eastAsia="仿宋" w:cs="仿宋"/>
                <w:kern w:val="0"/>
                <w:sz w:val="30"/>
                <w:szCs w:val="30"/>
              </w:rPr>
            </w:pPr>
            <w:r>
              <w:rPr>
                <w:rFonts w:hint="eastAsia" w:ascii="仿宋" w:hAnsi="仿宋" w:eastAsia="仿宋" w:cs="仿宋"/>
                <w:sz w:val="30"/>
                <w:szCs w:val="30"/>
              </w:rPr>
              <w:t>全自动连续结晶罐，大型连续助晶机，煮糖自控技术，煮糖强制循环装置，煮糖高效真空系统和凝结水冷却装置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8" w:type="dxa"/>
          </w:tcPr>
          <w:p>
            <w:pPr>
              <w:pStyle w:val="23"/>
              <w:widowControl/>
              <w:spacing w:line="360" w:lineRule="auto"/>
              <w:ind w:firstLine="0" w:firstLineChars="0"/>
              <w:jc w:val="center"/>
              <w:rPr>
                <w:rFonts w:ascii="仿宋" w:hAnsi="仿宋" w:eastAsia="仿宋" w:cs="仿宋"/>
                <w:sz w:val="30"/>
                <w:szCs w:val="30"/>
              </w:rPr>
            </w:pPr>
            <w:r>
              <w:rPr>
                <w:rFonts w:hint="eastAsia" w:ascii="仿宋" w:hAnsi="仿宋" w:eastAsia="仿宋" w:cs="仿宋"/>
                <w:sz w:val="30"/>
                <w:szCs w:val="30"/>
              </w:rPr>
              <w:t>分离包装</w:t>
            </w:r>
          </w:p>
        </w:tc>
        <w:tc>
          <w:tcPr>
            <w:tcW w:w="6794" w:type="dxa"/>
          </w:tcPr>
          <w:p>
            <w:pPr>
              <w:widowControl/>
              <w:spacing w:line="360" w:lineRule="auto"/>
              <w:jc w:val="left"/>
              <w:rPr>
                <w:rFonts w:ascii="仿宋" w:hAnsi="仿宋" w:eastAsia="仿宋" w:cs="仿宋"/>
                <w:kern w:val="0"/>
                <w:sz w:val="30"/>
                <w:szCs w:val="30"/>
              </w:rPr>
            </w:pPr>
            <w:r>
              <w:rPr>
                <w:rFonts w:hint="eastAsia" w:ascii="仿宋" w:hAnsi="仿宋" w:eastAsia="仿宋" w:cs="仿宋"/>
                <w:sz w:val="30"/>
                <w:szCs w:val="30"/>
              </w:rPr>
              <w:t>大型节能分离机，节能高效</w:t>
            </w:r>
            <w:r>
              <w:rPr>
                <w:rFonts w:hint="eastAsia" w:ascii="仿宋" w:hAnsi="仿宋" w:eastAsia="仿宋" w:cs="仿宋"/>
                <w:kern w:val="0"/>
                <w:sz w:val="30"/>
                <w:szCs w:val="30"/>
              </w:rPr>
              <w:t>成品糖干燥机，全自动包装码垛生产线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8" w:type="dxa"/>
          </w:tcPr>
          <w:p>
            <w:pPr>
              <w:pStyle w:val="23"/>
              <w:widowControl/>
              <w:spacing w:line="360" w:lineRule="auto"/>
              <w:ind w:firstLine="0" w:firstLineChars="0"/>
              <w:jc w:val="center"/>
              <w:rPr>
                <w:rFonts w:ascii="仿宋" w:hAnsi="仿宋" w:eastAsia="仿宋" w:cs="仿宋"/>
                <w:sz w:val="30"/>
                <w:szCs w:val="30"/>
              </w:rPr>
            </w:pPr>
            <w:r>
              <w:rPr>
                <w:rFonts w:hint="eastAsia" w:ascii="仿宋" w:hAnsi="仿宋" w:eastAsia="仿宋" w:cs="仿宋"/>
                <w:sz w:val="30"/>
                <w:szCs w:val="30"/>
              </w:rPr>
              <w:t>锅炉发电</w:t>
            </w:r>
          </w:p>
        </w:tc>
        <w:tc>
          <w:tcPr>
            <w:tcW w:w="6794" w:type="dxa"/>
          </w:tcPr>
          <w:p>
            <w:pPr>
              <w:widowControl/>
              <w:spacing w:line="360" w:lineRule="auto"/>
              <w:jc w:val="left"/>
              <w:rPr>
                <w:rFonts w:ascii="仿宋" w:hAnsi="仿宋" w:eastAsia="仿宋" w:cs="仿宋"/>
                <w:kern w:val="0"/>
                <w:sz w:val="30"/>
                <w:szCs w:val="30"/>
              </w:rPr>
            </w:pPr>
            <w:r>
              <w:rPr>
                <w:rFonts w:hint="eastAsia" w:ascii="仿宋" w:hAnsi="仿宋" w:eastAsia="仿宋" w:cs="仿宋"/>
                <w:kern w:val="0"/>
                <w:sz w:val="30"/>
                <w:szCs w:val="30"/>
              </w:rPr>
              <w:t>蔗渣生物质发电，</w:t>
            </w:r>
            <w:r>
              <w:rPr>
                <w:rFonts w:hint="eastAsia" w:ascii="仿宋" w:hAnsi="仿宋" w:eastAsia="仿宋" w:cs="仿宋"/>
                <w:sz w:val="30"/>
                <w:szCs w:val="30"/>
              </w:rPr>
              <w:t>高压大容量热力机组改造，锅炉烟道气余热干燥蔗渣，糖厂蔗渣锅炉清洁燃烧技术，烟道气除尘脱硫脱硝技术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8" w:type="dxa"/>
          </w:tcPr>
          <w:p>
            <w:pPr>
              <w:pStyle w:val="23"/>
              <w:widowControl/>
              <w:spacing w:line="360" w:lineRule="auto"/>
              <w:ind w:firstLine="0" w:firstLineChars="0"/>
              <w:jc w:val="center"/>
              <w:rPr>
                <w:rFonts w:ascii="仿宋" w:hAnsi="仿宋" w:eastAsia="仿宋" w:cs="仿宋"/>
                <w:sz w:val="30"/>
                <w:szCs w:val="30"/>
              </w:rPr>
            </w:pPr>
            <w:r>
              <w:rPr>
                <w:rFonts w:hint="eastAsia" w:ascii="仿宋" w:hAnsi="仿宋" w:eastAsia="仿宋" w:cs="仿宋"/>
                <w:sz w:val="30"/>
                <w:szCs w:val="30"/>
              </w:rPr>
              <w:t>全过程</w:t>
            </w:r>
          </w:p>
        </w:tc>
        <w:tc>
          <w:tcPr>
            <w:tcW w:w="6794" w:type="dxa"/>
          </w:tcPr>
          <w:p>
            <w:pPr>
              <w:widowControl/>
              <w:spacing w:line="360" w:lineRule="auto"/>
              <w:jc w:val="left"/>
              <w:rPr>
                <w:rFonts w:ascii="仿宋" w:hAnsi="仿宋" w:eastAsia="仿宋" w:cs="仿宋"/>
                <w:kern w:val="0"/>
                <w:sz w:val="30"/>
                <w:szCs w:val="30"/>
              </w:rPr>
            </w:pPr>
            <w:r>
              <w:rPr>
                <w:rFonts w:hint="eastAsia" w:ascii="仿宋" w:hAnsi="仿宋" w:eastAsia="仿宋" w:cs="仿宋"/>
                <w:kern w:val="0"/>
                <w:sz w:val="30"/>
                <w:szCs w:val="30"/>
              </w:rPr>
              <w:t>制糖生产过程近红外光谱在线检测技术，基于“两化融合”的糖厂生产调度管理系统，</w:t>
            </w:r>
            <w:r>
              <w:rPr>
                <w:rFonts w:hint="eastAsia" w:ascii="仿宋" w:hAnsi="仿宋" w:eastAsia="仿宋" w:cs="仿宋"/>
                <w:bCs/>
                <w:sz w:val="30"/>
                <w:szCs w:val="30"/>
              </w:rPr>
              <w:t>制糖全程自动控制技术，</w:t>
            </w:r>
            <w:r>
              <w:rPr>
                <w:rFonts w:hint="eastAsia" w:ascii="仿宋" w:hAnsi="仿宋" w:eastAsia="仿宋" w:cs="仿宋"/>
                <w:sz w:val="30"/>
                <w:szCs w:val="30"/>
              </w:rPr>
              <w:t>糖厂节水降耗闭合循环用水处理系统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8" w:type="dxa"/>
          </w:tcPr>
          <w:p>
            <w:pPr>
              <w:pStyle w:val="23"/>
              <w:widowControl/>
              <w:spacing w:line="360" w:lineRule="auto"/>
              <w:ind w:firstLine="0" w:firstLineChars="0"/>
              <w:jc w:val="center"/>
              <w:rPr>
                <w:rFonts w:ascii="仿宋" w:hAnsi="仿宋" w:eastAsia="仿宋" w:cs="仿宋"/>
                <w:sz w:val="30"/>
                <w:szCs w:val="30"/>
              </w:rPr>
            </w:pPr>
            <w:r>
              <w:rPr>
                <w:rFonts w:hint="eastAsia" w:ascii="仿宋" w:hAnsi="仿宋" w:eastAsia="仿宋" w:cs="仿宋"/>
                <w:sz w:val="30"/>
                <w:szCs w:val="30"/>
              </w:rPr>
              <w:t>其它</w:t>
            </w:r>
          </w:p>
        </w:tc>
        <w:tc>
          <w:tcPr>
            <w:tcW w:w="6794" w:type="dxa"/>
          </w:tcPr>
          <w:p>
            <w:pPr>
              <w:widowControl/>
              <w:spacing w:line="360" w:lineRule="auto"/>
              <w:jc w:val="left"/>
              <w:rPr>
                <w:rFonts w:ascii="仿宋" w:hAnsi="仿宋" w:eastAsia="仿宋" w:cs="仿宋"/>
                <w:kern w:val="0"/>
                <w:sz w:val="30"/>
                <w:szCs w:val="30"/>
              </w:rPr>
            </w:pPr>
            <w:r>
              <w:rPr>
                <w:rFonts w:hint="eastAsia" w:ascii="仿宋" w:hAnsi="仿宋" w:eastAsia="仿宋" w:cs="仿宋"/>
                <w:kern w:val="0"/>
                <w:sz w:val="30"/>
                <w:szCs w:val="30"/>
              </w:rPr>
              <w:t>高品质食糖生产技术，液体糖、功能糖等食糖产品多样化生产技术，糖厂副产品资源化利用技术，食糖产品二维码防伪溯源技术</w:t>
            </w:r>
          </w:p>
        </w:tc>
      </w:tr>
    </w:tbl>
    <w:p>
      <w:pPr>
        <w:pStyle w:val="3"/>
      </w:pPr>
      <w:bookmarkStart w:id="25" w:name="_Toc5286"/>
      <w:r>
        <w:rPr>
          <w:rFonts w:hint="eastAsia"/>
        </w:rPr>
        <w:t>（六）推行绿色制造技术，降低能耗和污染排放</w:t>
      </w:r>
      <w:bookmarkEnd w:id="24"/>
      <w:bookmarkEnd w:id="25"/>
    </w:p>
    <w:p>
      <w:pPr>
        <w:pStyle w:val="23"/>
        <w:widowControl/>
        <w:spacing w:line="360" w:lineRule="auto"/>
        <w:ind w:firstLine="600"/>
        <w:rPr>
          <w:rFonts w:ascii="仿宋" w:hAnsi="仿宋" w:eastAsia="仿宋" w:cs="仿宋"/>
          <w:sz w:val="30"/>
          <w:szCs w:val="30"/>
        </w:rPr>
      </w:pPr>
      <w:r>
        <w:rPr>
          <w:rFonts w:hint="eastAsia" w:ascii="仿宋" w:hAnsi="仿宋" w:eastAsia="仿宋" w:cs="仿宋"/>
          <w:sz w:val="30"/>
          <w:szCs w:val="30"/>
        </w:rPr>
        <w:t>推行绿色制造技术，实施清洁生产，降低制糖生产过程的能耗、水耗和污染物排放。从原料预处理、压榨（渗出）提汁、澄清过滤、加热蒸发、煮炼助晶、分蜜包装以及锅炉发电生产全过程推广实施一批绿色制造新技术新装备，加大节能、节水和污染排放技术改造的步伐，在糖业转型升级过程中，改善产业生态环境，实现经济效益与环境效益的双赢。到2022年，通过推行绿色制造技术，全行业百吨糖料能耗下降10%，吨糖料耗水下降20%，吨糖COD 排放下降30%。</w:t>
      </w:r>
    </w:p>
    <w:p>
      <w:pPr>
        <w:pStyle w:val="3"/>
      </w:pPr>
      <w:bookmarkStart w:id="26" w:name="_Toc19875"/>
      <w:bookmarkStart w:id="27" w:name="_Toc10385"/>
      <w:r>
        <w:rPr>
          <w:rFonts w:hint="eastAsia"/>
        </w:rPr>
        <w:t>（七）落实 “三品”战略，满足食糖消费升级需求</w:t>
      </w:r>
      <w:bookmarkEnd w:id="26"/>
      <w:bookmarkEnd w:id="27"/>
    </w:p>
    <w:p>
      <w:pPr>
        <w:shd w:val="clear" w:color="auto" w:fill="FFFFFF"/>
        <w:spacing w:line="360" w:lineRule="auto"/>
        <w:ind w:firstLine="600" w:firstLineChars="200"/>
        <w:rPr>
          <w:rFonts w:ascii="仿宋" w:hAnsi="仿宋" w:eastAsia="仿宋" w:cs="仿宋"/>
          <w:sz w:val="30"/>
          <w:szCs w:val="30"/>
        </w:rPr>
      </w:pPr>
      <w:r>
        <w:rPr>
          <w:rFonts w:hint="eastAsia" w:ascii="仿宋" w:hAnsi="仿宋" w:eastAsia="仿宋" w:cs="仿宋"/>
          <w:kern w:val="28"/>
          <w:sz w:val="30"/>
          <w:szCs w:val="30"/>
        </w:rPr>
        <w:t>贯彻落实国务院《</w:t>
      </w:r>
      <w:r>
        <w:rPr>
          <w:rFonts w:hint="eastAsia" w:ascii="仿宋" w:hAnsi="仿宋" w:eastAsia="仿宋" w:cs="仿宋"/>
          <w:bCs/>
          <w:kern w:val="0"/>
          <w:sz w:val="30"/>
          <w:szCs w:val="30"/>
        </w:rPr>
        <w:t>关于开展消费品工业“三品”专项行动 营造良好市场环境的若干意见</w:t>
      </w:r>
      <w:r>
        <w:rPr>
          <w:rFonts w:hint="eastAsia" w:ascii="仿宋" w:hAnsi="仿宋" w:eastAsia="仿宋" w:cs="仿宋"/>
          <w:kern w:val="28"/>
          <w:sz w:val="30"/>
          <w:szCs w:val="30"/>
        </w:rPr>
        <w:t>》，</w:t>
      </w:r>
      <w:r>
        <w:rPr>
          <w:rFonts w:hint="eastAsia" w:ascii="仿宋" w:hAnsi="仿宋" w:eastAsia="仿宋" w:cs="仿宋"/>
          <w:kern w:val="0"/>
          <w:sz w:val="30"/>
          <w:szCs w:val="30"/>
        </w:rPr>
        <w:t>弘扬精益求精的工匠精神，积极推动增品种、提品质、创品牌行动。</w:t>
      </w:r>
      <w:r>
        <w:rPr>
          <w:rFonts w:hint="eastAsia" w:ascii="仿宋" w:hAnsi="仿宋" w:eastAsia="仿宋" w:cs="仿宋"/>
          <w:sz w:val="30"/>
          <w:szCs w:val="30"/>
        </w:rPr>
        <w:t>在行动过程中，推进糖业供给侧改革，引导糖厂实现产品升级，质量提升，增强服务意识。有条件的企业要在产品多样化上多下功夫，丰富食糖品种，满足市场多样化的消费需求。具备能力的企业、原糖加工企业要在生产精制糖、液体糖方面有所作为，满足市场消费升级需求。企业要增强品牌意识，制定品牌战略，加强品牌管理，争取五年内全行业培育出20个优势品牌产品和企业。</w:t>
      </w:r>
    </w:p>
    <w:p>
      <w:pPr>
        <w:pStyle w:val="2"/>
        <w:spacing w:before="156"/>
        <w:ind w:firstLine="602"/>
        <w:rPr>
          <w:rFonts w:hint="eastAsia" w:ascii="黑体" w:hAnsi="黑体" w:cs="黑体"/>
          <w:szCs w:val="30"/>
        </w:rPr>
      </w:pPr>
      <w:bookmarkStart w:id="28" w:name="_Toc29673"/>
      <w:bookmarkStart w:id="29" w:name="_Toc18369"/>
      <w:r>
        <w:rPr>
          <w:rFonts w:hint="eastAsia" w:ascii="黑体" w:hAnsi="黑体" w:cs="黑体"/>
          <w:szCs w:val="30"/>
        </w:rPr>
        <w:t>四、</w:t>
      </w:r>
      <w:bookmarkEnd w:id="28"/>
      <w:r>
        <w:rPr>
          <w:rFonts w:hint="eastAsia" w:ascii="黑体" w:hAnsi="黑体" w:cs="黑体"/>
          <w:szCs w:val="30"/>
        </w:rPr>
        <w:t>政策</w:t>
      </w:r>
      <w:bookmarkEnd w:id="29"/>
      <w:r>
        <w:rPr>
          <w:rFonts w:hint="eastAsia" w:ascii="黑体" w:hAnsi="黑体" w:cs="黑体"/>
          <w:szCs w:val="30"/>
          <w:lang w:eastAsia="zh-CN"/>
        </w:rPr>
        <w:t>建议</w:t>
      </w:r>
    </w:p>
    <w:p>
      <w:pPr>
        <w:rPr>
          <w:rFonts w:ascii="仿宋" w:hAnsi="仿宋" w:eastAsia="仿宋"/>
          <w:sz w:val="30"/>
          <w:szCs w:val="30"/>
        </w:rPr>
      </w:pPr>
      <w:r>
        <w:rPr>
          <w:rFonts w:hint="eastAsia"/>
        </w:rPr>
        <w:t xml:space="preserve"> </w:t>
      </w:r>
      <w:r>
        <w:rPr>
          <w:rFonts w:hint="eastAsia" w:ascii="仿宋" w:hAnsi="仿宋" w:eastAsia="仿宋"/>
        </w:rPr>
        <w:t xml:space="preserve">   </w:t>
      </w:r>
      <w:r>
        <w:rPr>
          <w:rFonts w:hint="eastAsia" w:ascii="仿宋" w:hAnsi="仿宋" w:eastAsia="仿宋"/>
          <w:sz w:val="30"/>
          <w:szCs w:val="30"/>
        </w:rPr>
        <w:t>食糖是关系国计民生的重要农产品，糖业发展涉及到老、少、边、穷地区4000万糖农的根本利益，也是贯彻落实党中央、国务院扶贫攻坚战略的重要抓手。《行动计划》的实施不仅需要行业的自身努力，更需要国家有关政策的支持</w:t>
      </w:r>
      <w:r>
        <w:rPr>
          <w:rFonts w:hint="eastAsia" w:ascii="仿宋" w:hAnsi="仿宋" w:eastAsia="仿宋"/>
          <w:sz w:val="30"/>
          <w:szCs w:val="30"/>
          <w:lang w:eastAsia="zh-CN"/>
        </w:rPr>
        <w:t>，为此建议：</w:t>
      </w:r>
    </w:p>
    <w:bookmarkEnd w:id="0"/>
    <w:bookmarkEnd w:id="1"/>
    <w:p>
      <w:pPr>
        <w:pStyle w:val="3"/>
      </w:pPr>
      <w:bookmarkStart w:id="30" w:name="_Toc11209"/>
      <w:r>
        <w:rPr>
          <w:rFonts w:hint="eastAsia"/>
        </w:rPr>
        <w:t>（一）进一步加强食糖进口管理</w:t>
      </w:r>
      <w:bookmarkEnd w:id="30"/>
    </w:p>
    <w:p>
      <w:pPr>
        <w:widowControl/>
        <w:spacing w:line="360" w:lineRule="auto"/>
        <w:ind w:firstLine="600" w:firstLineChars="200"/>
        <w:rPr>
          <w:rFonts w:ascii="仿宋" w:hAnsi="仿宋" w:eastAsia="仿宋" w:cs="仿宋"/>
          <w:color w:val="000000" w:themeColor="text1"/>
          <w:kern w:val="0"/>
          <w:sz w:val="30"/>
          <w:szCs w:val="30"/>
        </w:rPr>
      </w:pPr>
      <w:r>
        <w:rPr>
          <w:rFonts w:hint="eastAsia" w:ascii="仿宋" w:hAnsi="仿宋" w:eastAsia="仿宋" w:cs="仿宋"/>
          <w:kern w:val="0"/>
          <w:sz w:val="30"/>
          <w:szCs w:val="30"/>
        </w:rPr>
        <w:t>贯彻落实食糖保障措施，做好食糖自动进口许可管理相关工作，严厉打击食糖走私和假冒注册商标违法经营行为。全行业</w:t>
      </w:r>
      <w:r>
        <w:rPr>
          <w:rFonts w:hint="eastAsia" w:ascii="仿宋" w:hAnsi="仿宋" w:eastAsia="仿宋" w:cs="仿宋"/>
          <w:color w:val="000000" w:themeColor="text1"/>
          <w:kern w:val="0"/>
          <w:sz w:val="30"/>
          <w:szCs w:val="30"/>
        </w:rPr>
        <w:t>加快推进二维码防伪溯源体系建设，为政府执法提供有力技术支撑。</w:t>
      </w:r>
    </w:p>
    <w:p>
      <w:pPr>
        <w:pStyle w:val="3"/>
      </w:pPr>
      <w:bookmarkStart w:id="31" w:name="_Toc915"/>
      <w:r>
        <w:rPr>
          <w:rFonts w:hint="eastAsia"/>
        </w:rPr>
        <w:t>（二）积极推进食糖目标价格管理实施</w:t>
      </w:r>
      <w:bookmarkEnd w:id="31"/>
    </w:p>
    <w:p>
      <w:pPr>
        <w:widowControl/>
        <w:spacing w:line="360" w:lineRule="auto"/>
        <w:ind w:firstLine="600" w:firstLineChars="200"/>
        <w:rPr>
          <w:rFonts w:ascii="仿宋" w:hAnsi="仿宋" w:eastAsia="仿宋" w:cs="仿宋"/>
          <w:kern w:val="0"/>
          <w:sz w:val="30"/>
          <w:szCs w:val="30"/>
        </w:rPr>
      </w:pPr>
      <w:r>
        <w:rPr>
          <w:rFonts w:hint="eastAsia" w:ascii="仿宋" w:hAnsi="仿宋" w:eastAsia="仿宋" w:cs="仿宋"/>
          <w:kern w:val="0"/>
          <w:sz w:val="30"/>
          <w:szCs w:val="30"/>
        </w:rPr>
        <w:t>实施食糖目标价格管理是糖业长期持续稳定发展的必要条件。食糖生产集中度高、糖料与制糖企业联系紧密，农民种植的糖料必须通过制糖企业加工成食糖才能实现价值，</w:t>
      </w:r>
      <w:r>
        <w:rPr>
          <w:rFonts w:hint="eastAsia" w:ascii="仿宋" w:hAnsi="仿宋" w:eastAsia="仿宋" w:cs="仿宋"/>
          <w:kern w:val="0"/>
          <w:sz w:val="30"/>
          <w:szCs w:val="30"/>
          <w:lang w:eastAsia="zh-CN"/>
        </w:rPr>
        <w:t>通过</w:t>
      </w:r>
      <w:r>
        <w:rPr>
          <w:rFonts w:hint="eastAsia" w:ascii="仿宋" w:hAnsi="仿宋" w:eastAsia="仿宋" w:cs="仿宋"/>
          <w:kern w:val="0"/>
          <w:sz w:val="30"/>
          <w:szCs w:val="30"/>
        </w:rPr>
        <w:t>制糖企业反哺农业，促进糖料生产发展，形成良性循环。借鉴棉花和大豆实施目标价格管理政策的实践，食糖目标价格管理操作成本会更低，更易于管理，更容易实施并取得良好成效。</w:t>
      </w:r>
    </w:p>
    <w:p>
      <w:pPr>
        <w:pStyle w:val="3"/>
      </w:pPr>
      <w:bookmarkStart w:id="32" w:name="_Toc22147"/>
      <w:r>
        <w:rPr>
          <w:rFonts w:hint="eastAsia"/>
        </w:rPr>
        <w:t>（三）加大中央及地方财政支持力度</w:t>
      </w:r>
      <w:bookmarkEnd w:id="32"/>
    </w:p>
    <w:p>
      <w:pPr>
        <w:widowControl/>
        <w:spacing w:line="360" w:lineRule="auto"/>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国家发改委、财政部、农业部设立糖料生产专项资金，重点支持企业和科研机构从事良种繁育、栽培管理、病虫害防治及全程机械化建设；国家发改委、工信部、财政部设立技术装备改造专项资金，重点支持制糖企业技术改造、产业升级及“三品”战略实施。各主产糖省区政府加大相关配套政策和资金支持。</w:t>
      </w:r>
    </w:p>
    <w:p>
      <w:pPr>
        <w:pStyle w:val="3"/>
        <w:rPr>
          <w:rFonts w:hint="eastAsia"/>
        </w:rPr>
      </w:pPr>
      <w:bookmarkStart w:id="33" w:name="_Toc23800"/>
      <w:r>
        <w:rPr>
          <w:rFonts w:hint="eastAsia"/>
        </w:rPr>
        <w:t>（四）完善糖料生产保护区布局</w:t>
      </w:r>
      <w:bookmarkEnd w:id="33"/>
    </w:p>
    <w:p>
      <w:pPr>
        <w:rPr>
          <w:rFonts w:hint="eastAsia" w:ascii="仿宋" w:hAnsi="仿宋" w:eastAsia="仿宋"/>
          <w:sz w:val="30"/>
          <w:szCs w:val="30"/>
        </w:rPr>
      </w:pPr>
      <w:r>
        <w:rPr>
          <w:rFonts w:hint="eastAsia"/>
        </w:rPr>
        <w:t xml:space="preserve">     </w:t>
      </w:r>
      <w:r>
        <w:rPr>
          <w:rFonts w:hint="eastAsia" w:ascii="仿宋" w:hAnsi="仿宋" w:eastAsia="仿宋"/>
          <w:sz w:val="30"/>
          <w:szCs w:val="30"/>
        </w:rPr>
        <w:t>为确保我国食糖产业安全，在现有已划定的甘蔗生产保护区基础上，适度扩大保护区范围，将我国北方新疆、内蒙古等省（区）甜菜生产列入保护区。</w:t>
      </w:r>
    </w:p>
    <w:p>
      <w:pPr>
        <w:pStyle w:val="3"/>
        <w:ind w:firstLine="602"/>
      </w:pPr>
      <w:bookmarkStart w:id="34" w:name="_Toc18953"/>
      <w:bookmarkStart w:id="35" w:name="_Toc24886"/>
      <w:r>
        <w:rPr>
          <w:rFonts w:hint="eastAsia"/>
        </w:rPr>
        <w:t>（五）加强食糖市场有效监管</w:t>
      </w:r>
      <w:bookmarkEnd w:id="34"/>
      <w:bookmarkEnd w:id="35"/>
    </w:p>
    <w:p>
      <w:pPr>
        <w:ind w:firstLine="600" w:firstLineChars="200"/>
        <w:rPr>
          <w:rFonts w:hint="eastAsia" w:ascii="仿宋" w:hAnsi="仿宋" w:eastAsia="仿宋" w:cs="仿宋"/>
          <w:sz w:val="30"/>
          <w:szCs w:val="30"/>
        </w:rPr>
      </w:pPr>
      <w:r>
        <w:rPr>
          <w:rFonts w:hint="eastAsia" w:ascii="仿宋" w:hAnsi="仿宋" w:eastAsia="仿宋" w:cs="仿宋"/>
          <w:sz w:val="30"/>
          <w:szCs w:val="30"/>
        </w:rPr>
        <w:t>加强对</w:t>
      </w:r>
      <w:r>
        <w:rPr>
          <w:rFonts w:hint="eastAsia" w:ascii="仿宋" w:hAnsi="仿宋" w:eastAsia="仿宋" w:cs="仿宋"/>
          <w:sz w:val="30"/>
          <w:szCs w:val="30"/>
          <w:lang w:eastAsia="zh-CN"/>
        </w:rPr>
        <w:t>期、现货</w:t>
      </w:r>
      <w:r>
        <w:rPr>
          <w:rFonts w:hint="eastAsia" w:ascii="仿宋" w:hAnsi="仿宋" w:eastAsia="仿宋" w:cs="仿宋"/>
          <w:kern w:val="2"/>
          <w:sz w:val="30"/>
          <w:szCs w:val="30"/>
        </w:rPr>
        <w:t>食糖</w:t>
      </w:r>
      <w:r>
        <w:rPr>
          <w:rFonts w:hint="eastAsia" w:ascii="仿宋" w:hAnsi="仿宋" w:eastAsia="仿宋" w:cs="仿宋"/>
          <w:sz w:val="30"/>
          <w:szCs w:val="30"/>
        </w:rPr>
        <w:t>市场的有效监管</w:t>
      </w:r>
      <w:r>
        <w:rPr>
          <w:rFonts w:hint="eastAsia" w:ascii="仿宋" w:hAnsi="仿宋" w:eastAsia="仿宋" w:cs="仿宋"/>
          <w:kern w:val="2"/>
          <w:sz w:val="30"/>
          <w:szCs w:val="30"/>
        </w:rPr>
        <w:t>和</w:t>
      </w:r>
      <w:r>
        <w:rPr>
          <w:rFonts w:hint="eastAsia" w:ascii="仿宋" w:hAnsi="仿宋" w:eastAsia="仿宋" w:cs="仿宋"/>
          <w:sz w:val="30"/>
          <w:szCs w:val="30"/>
        </w:rPr>
        <w:t>惩处力度，切实防范过度投机</w:t>
      </w:r>
      <w:r>
        <w:rPr>
          <w:rFonts w:hint="eastAsia" w:ascii="仿宋" w:hAnsi="仿宋" w:eastAsia="仿宋" w:cs="仿宋"/>
          <w:sz w:val="30"/>
          <w:szCs w:val="30"/>
          <w:lang w:eastAsia="zh-CN"/>
        </w:rPr>
        <w:t>、人为</w:t>
      </w:r>
      <w:r>
        <w:rPr>
          <w:rFonts w:hint="eastAsia" w:ascii="仿宋" w:hAnsi="仿宋" w:eastAsia="仿宋" w:cs="仿宋"/>
          <w:sz w:val="30"/>
          <w:szCs w:val="30"/>
        </w:rPr>
        <w:t>炒作，积极配合国家宏观调控，充分发挥</w:t>
      </w:r>
      <w:r>
        <w:rPr>
          <w:rFonts w:hint="eastAsia" w:ascii="仿宋" w:hAnsi="仿宋" w:eastAsia="仿宋" w:cs="仿宋"/>
          <w:sz w:val="30"/>
          <w:szCs w:val="30"/>
          <w:lang w:eastAsia="zh-CN"/>
        </w:rPr>
        <w:t>白</w:t>
      </w:r>
      <w:r>
        <w:rPr>
          <w:rFonts w:hint="eastAsia" w:ascii="仿宋" w:hAnsi="仿宋" w:eastAsia="仿宋" w:cs="仿宋"/>
          <w:sz w:val="30"/>
          <w:szCs w:val="30"/>
        </w:rPr>
        <w:t>糖</w:t>
      </w:r>
      <w:r>
        <w:rPr>
          <w:rFonts w:hint="eastAsia" w:ascii="仿宋" w:hAnsi="仿宋" w:eastAsia="仿宋" w:cs="仿宋"/>
          <w:sz w:val="30"/>
          <w:szCs w:val="30"/>
          <w:lang w:eastAsia="zh-CN"/>
        </w:rPr>
        <w:t>期货</w:t>
      </w:r>
      <w:r>
        <w:rPr>
          <w:rFonts w:hint="eastAsia" w:ascii="仿宋" w:hAnsi="仿宋" w:eastAsia="仿宋" w:cs="仿宋"/>
          <w:sz w:val="30"/>
          <w:szCs w:val="30"/>
        </w:rPr>
        <w:t>市场服务糖业</w:t>
      </w:r>
      <w:r>
        <w:rPr>
          <w:rFonts w:hint="eastAsia" w:ascii="仿宋" w:hAnsi="仿宋" w:eastAsia="仿宋" w:cs="仿宋"/>
          <w:sz w:val="30"/>
          <w:szCs w:val="30"/>
          <w:lang w:eastAsia="zh-CN"/>
        </w:rPr>
        <w:t>实体经济</w:t>
      </w:r>
      <w:r>
        <w:rPr>
          <w:rFonts w:hint="eastAsia" w:ascii="仿宋" w:hAnsi="仿宋" w:eastAsia="仿宋" w:cs="仿宋"/>
          <w:sz w:val="30"/>
          <w:szCs w:val="30"/>
        </w:rPr>
        <w:t>发展的功能。</w:t>
      </w:r>
    </w:p>
    <w:p>
      <w:pPr>
        <w:pStyle w:val="3"/>
      </w:pPr>
      <w:bookmarkStart w:id="36" w:name="_Toc3418"/>
      <w:r>
        <w:rPr>
          <w:rFonts w:hint="eastAsia"/>
        </w:rPr>
        <w:t>（</w:t>
      </w:r>
      <w:r>
        <w:rPr>
          <w:rFonts w:hint="eastAsia"/>
          <w:lang w:eastAsia="zh-CN"/>
        </w:rPr>
        <w:t>六</w:t>
      </w:r>
      <w:r>
        <w:rPr>
          <w:rFonts w:hint="eastAsia"/>
        </w:rPr>
        <w:t>）充分发挥协会作用，全面推进《行动计划》落实</w:t>
      </w:r>
      <w:bookmarkEnd w:id="36"/>
    </w:p>
    <w:p>
      <w:pPr>
        <w:widowControl/>
        <w:spacing w:line="360" w:lineRule="auto"/>
        <w:ind w:firstLine="600" w:firstLineChars="200"/>
        <w:rPr>
          <w:rFonts w:ascii="仿宋" w:hAnsi="仿宋" w:eastAsia="仿宋" w:cs="仿宋"/>
          <w:kern w:val="0"/>
          <w:sz w:val="30"/>
          <w:szCs w:val="30"/>
        </w:rPr>
      </w:pPr>
      <w:r>
        <w:rPr>
          <w:rFonts w:hint="eastAsia" w:ascii="仿宋" w:hAnsi="仿宋" w:eastAsia="仿宋" w:cs="仿宋"/>
          <w:kern w:val="0"/>
          <w:sz w:val="30"/>
          <w:szCs w:val="30"/>
        </w:rPr>
        <w:t>充分发挥行业协会桥梁纽带作用，加强行业自律，积极沟通、协调食糖产业各方利益主体，配合政府有关部门做好各项食糖宏观调控工作。积极引导、督促企业提高认识，落实主体责任，加大技术、资金投入，确保《行动计划》目标如期实现。</w:t>
      </w:r>
    </w:p>
    <w:p>
      <w:pPr>
        <w:widowControl/>
        <w:spacing w:line="360" w:lineRule="auto"/>
        <w:ind w:firstLine="600" w:firstLineChars="200"/>
        <w:rPr>
          <w:rFonts w:ascii="仿宋" w:hAnsi="仿宋" w:eastAsia="仿宋" w:cs="仿宋"/>
          <w:kern w:val="0"/>
          <w:sz w:val="30"/>
          <w:szCs w:val="30"/>
        </w:rPr>
      </w:pP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 w:name="华文新魏">
    <w:panose1 w:val="02010800040101010101"/>
    <w:charset w:val="86"/>
    <w:family w:val="auto"/>
    <w:pitch w:val="default"/>
    <w:sig w:usb0="00000001" w:usb1="080F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0F3C52" w:usb2="00000016" w:usb3="00000000" w:csb0="0004001F"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pict>
        <v:shape id="_x0000_s1028" o:spid="_x0000_s1028"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C02fSzFAQAAawMAAA4AAAAAAAAAAQAgAAAAHgEAAGRycy9lMm9Eb2MueG1s&#10;UEsFBgAAAAAGAAYAWQEAAFUFAAAAAA==&#10;">
          <v:path/>
          <v:fill on="f" focussize="0,0"/>
          <v:stroke on="f" joinstyle="miter"/>
          <v:imagedata o:title=""/>
          <o:lock v:ext="edit"/>
          <v:textbox inset="0mm,0mm,0mm,0mm" style="mso-fit-shape-to-text:t;">
            <w:txbxContent>
              <w:p>
                <w:pPr>
                  <w:pStyle w:val="9"/>
                  <w:jc w:val="center"/>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lang w:val="zh-CN"/>
                  </w:rPr>
                  <w:t>1</w:t>
                </w:r>
                <w:r>
                  <w:rPr>
                    <w:rFonts w:hint="default" w:ascii="Times New Roman" w:hAnsi="Times New Roman" w:cs="Times New Roman"/>
                    <w:lang w:val="zh-CN"/>
                  </w:rPr>
                  <w:fldChar w:fldCharType="end"/>
                </w:r>
              </w:p>
            </w:txbxContent>
          </v:textbox>
        </v:shape>
      </w:pict>
    </w:r>
  </w:p>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F60577"/>
    <w:rsid w:val="00000781"/>
    <w:rsid w:val="00001F07"/>
    <w:rsid w:val="00010087"/>
    <w:rsid w:val="00010181"/>
    <w:rsid w:val="00011694"/>
    <w:rsid w:val="00014954"/>
    <w:rsid w:val="00015289"/>
    <w:rsid w:val="000229A6"/>
    <w:rsid w:val="00031A3F"/>
    <w:rsid w:val="00036AA9"/>
    <w:rsid w:val="000420F2"/>
    <w:rsid w:val="00050187"/>
    <w:rsid w:val="00050D36"/>
    <w:rsid w:val="00062D3B"/>
    <w:rsid w:val="00065308"/>
    <w:rsid w:val="00082C35"/>
    <w:rsid w:val="00082D63"/>
    <w:rsid w:val="00085BF0"/>
    <w:rsid w:val="000A0A87"/>
    <w:rsid w:val="000A13B3"/>
    <w:rsid w:val="000A391C"/>
    <w:rsid w:val="000A5B87"/>
    <w:rsid w:val="000B1E74"/>
    <w:rsid w:val="000C3E52"/>
    <w:rsid w:val="000D3610"/>
    <w:rsid w:val="000D4243"/>
    <w:rsid w:val="000D55BD"/>
    <w:rsid w:val="000E406E"/>
    <w:rsid w:val="000E6034"/>
    <w:rsid w:val="00102A4B"/>
    <w:rsid w:val="00104E49"/>
    <w:rsid w:val="00107AB3"/>
    <w:rsid w:val="0011064D"/>
    <w:rsid w:val="00115F2C"/>
    <w:rsid w:val="00115F45"/>
    <w:rsid w:val="001202DC"/>
    <w:rsid w:val="00120393"/>
    <w:rsid w:val="0012230B"/>
    <w:rsid w:val="001231CD"/>
    <w:rsid w:val="00124B5C"/>
    <w:rsid w:val="001273E6"/>
    <w:rsid w:val="00127915"/>
    <w:rsid w:val="001305C1"/>
    <w:rsid w:val="0013151C"/>
    <w:rsid w:val="00134B4F"/>
    <w:rsid w:val="00136DA9"/>
    <w:rsid w:val="001463E0"/>
    <w:rsid w:val="00155D44"/>
    <w:rsid w:val="00163FCF"/>
    <w:rsid w:val="00166643"/>
    <w:rsid w:val="00171C8C"/>
    <w:rsid w:val="0017353D"/>
    <w:rsid w:val="00174137"/>
    <w:rsid w:val="001755A9"/>
    <w:rsid w:val="0017567D"/>
    <w:rsid w:val="001801BA"/>
    <w:rsid w:val="00184886"/>
    <w:rsid w:val="00194A9F"/>
    <w:rsid w:val="00194E34"/>
    <w:rsid w:val="001A0A18"/>
    <w:rsid w:val="001A68BF"/>
    <w:rsid w:val="001B181C"/>
    <w:rsid w:val="001B781B"/>
    <w:rsid w:val="001B7D69"/>
    <w:rsid w:val="001C43D6"/>
    <w:rsid w:val="001D2ACD"/>
    <w:rsid w:val="001D78FE"/>
    <w:rsid w:val="001D7A89"/>
    <w:rsid w:val="001E02FE"/>
    <w:rsid w:val="001E0798"/>
    <w:rsid w:val="001F23C8"/>
    <w:rsid w:val="001F60D8"/>
    <w:rsid w:val="00201D84"/>
    <w:rsid w:val="00212A58"/>
    <w:rsid w:val="00225E50"/>
    <w:rsid w:val="0022691C"/>
    <w:rsid w:val="00234426"/>
    <w:rsid w:val="00234F2F"/>
    <w:rsid w:val="00240A5E"/>
    <w:rsid w:val="00246828"/>
    <w:rsid w:val="00251E5B"/>
    <w:rsid w:val="00254825"/>
    <w:rsid w:val="002565EA"/>
    <w:rsid w:val="00263588"/>
    <w:rsid w:val="00264DB4"/>
    <w:rsid w:val="00267003"/>
    <w:rsid w:val="002678DD"/>
    <w:rsid w:val="00270B6E"/>
    <w:rsid w:val="00272665"/>
    <w:rsid w:val="00273485"/>
    <w:rsid w:val="002756A9"/>
    <w:rsid w:val="0027693F"/>
    <w:rsid w:val="00277CE5"/>
    <w:rsid w:val="00280457"/>
    <w:rsid w:val="00281972"/>
    <w:rsid w:val="002832E6"/>
    <w:rsid w:val="0028393F"/>
    <w:rsid w:val="002865E1"/>
    <w:rsid w:val="00291C0C"/>
    <w:rsid w:val="002938CC"/>
    <w:rsid w:val="0029740B"/>
    <w:rsid w:val="002A25F1"/>
    <w:rsid w:val="002A339D"/>
    <w:rsid w:val="002B28A5"/>
    <w:rsid w:val="002B7FEE"/>
    <w:rsid w:val="002C05B8"/>
    <w:rsid w:val="002D3357"/>
    <w:rsid w:val="002D4918"/>
    <w:rsid w:val="002D5680"/>
    <w:rsid w:val="002E6309"/>
    <w:rsid w:val="002E6EB7"/>
    <w:rsid w:val="002F04E7"/>
    <w:rsid w:val="00306925"/>
    <w:rsid w:val="003134D9"/>
    <w:rsid w:val="0031364B"/>
    <w:rsid w:val="003205A0"/>
    <w:rsid w:val="00321620"/>
    <w:rsid w:val="00324B91"/>
    <w:rsid w:val="00330525"/>
    <w:rsid w:val="0033064F"/>
    <w:rsid w:val="00335CF9"/>
    <w:rsid w:val="00336619"/>
    <w:rsid w:val="00340EA3"/>
    <w:rsid w:val="003412FF"/>
    <w:rsid w:val="0034148F"/>
    <w:rsid w:val="00343E68"/>
    <w:rsid w:val="003440CA"/>
    <w:rsid w:val="00345F54"/>
    <w:rsid w:val="00346BF0"/>
    <w:rsid w:val="00350122"/>
    <w:rsid w:val="003524F6"/>
    <w:rsid w:val="00357188"/>
    <w:rsid w:val="003607F2"/>
    <w:rsid w:val="003616BD"/>
    <w:rsid w:val="00364BBD"/>
    <w:rsid w:val="00364ED8"/>
    <w:rsid w:val="00364FE0"/>
    <w:rsid w:val="00372954"/>
    <w:rsid w:val="00374BDA"/>
    <w:rsid w:val="00375857"/>
    <w:rsid w:val="003823BE"/>
    <w:rsid w:val="0038289C"/>
    <w:rsid w:val="00385BB9"/>
    <w:rsid w:val="00386417"/>
    <w:rsid w:val="00386A26"/>
    <w:rsid w:val="00387AB4"/>
    <w:rsid w:val="00390CE2"/>
    <w:rsid w:val="0039204E"/>
    <w:rsid w:val="0039246C"/>
    <w:rsid w:val="00393BEE"/>
    <w:rsid w:val="00395BD8"/>
    <w:rsid w:val="003975DE"/>
    <w:rsid w:val="003A28EF"/>
    <w:rsid w:val="003A2F2C"/>
    <w:rsid w:val="003A4C58"/>
    <w:rsid w:val="003A5FFB"/>
    <w:rsid w:val="003B0C3D"/>
    <w:rsid w:val="003B131E"/>
    <w:rsid w:val="003B3881"/>
    <w:rsid w:val="003B69FE"/>
    <w:rsid w:val="003C0070"/>
    <w:rsid w:val="003C0224"/>
    <w:rsid w:val="003C02E9"/>
    <w:rsid w:val="003C0416"/>
    <w:rsid w:val="003C0C01"/>
    <w:rsid w:val="003C4C3D"/>
    <w:rsid w:val="003C7BE2"/>
    <w:rsid w:val="003C7FB6"/>
    <w:rsid w:val="003D617F"/>
    <w:rsid w:val="003E0180"/>
    <w:rsid w:val="003E5BB0"/>
    <w:rsid w:val="003E7C2C"/>
    <w:rsid w:val="003F5505"/>
    <w:rsid w:val="00401FDC"/>
    <w:rsid w:val="00416110"/>
    <w:rsid w:val="00421BEE"/>
    <w:rsid w:val="00425428"/>
    <w:rsid w:val="0043744C"/>
    <w:rsid w:val="0044364D"/>
    <w:rsid w:val="0044464A"/>
    <w:rsid w:val="00444B30"/>
    <w:rsid w:val="00452B4E"/>
    <w:rsid w:val="00454A03"/>
    <w:rsid w:val="00455B80"/>
    <w:rsid w:val="00455F41"/>
    <w:rsid w:val="004616A6"/>
    <w:rsid w:val="00462AB5"/>
    <w:rsid w:val="00463900"/>
    <w:rsid w:val="00472C98"/>
    <w:rsid w:val="00472F7F"/>
    <w:rsid w:val="00473564"/>
    <w:rsid w:val="004752D1"/>
    <w:rsid w:val="0047561D"/>
    <w:rsid w:val="0048002E"/>
    <w:rsid w:val="0048210B"/>
    <w:rsid w:val="004876EE"/>
    <w:rsid w:val="00487B49"/>
    <w:rsid w:val="00493971"/>
    <w:rsid w:val="00495795"/>
    <w:rsid w:val="00497362"/>
    <w:rsid w:val="004A18F4"/>
    <w:rsid w:val="004A3BB5"/>
    <w:rsid w:val="004B0310"/>
    <w:rsid w:val="004B0F84"/>
    <w:rsid w:val="004B272E"/>
    <w:rsid w:val="004B4435"/>
    <w:rsid w:val="004B45E4"/>
    <w:rsid w:val="004C37C2"/>
    <w:rsid w:val="004C701F"/>
    <w:rsid w:val="004D17DE"/>
    <w:rsid w:val="004E0772"/>
    <w:rsid w:val="004E32C4"/>
    <w:rsid w:val="004E4755"/>
    <w:rsid w:val="004E566B"/>
    <w:rsid w:val="004F170D"/>
    <w:rsid w:val="004F5BF5"/>
    <w:rsid w:val="004F79C9"/>
    <w:rsid w:val="005030F0"/>
    <w:rsid w:val="005163B2"/>
    <w:rsid w:val="005248D8"/>
    <w:rsid w:val="005273F9"/>
    <w:rsid w:val="005278C9"/>
    <w:rsid w:val="00533876"/>
    <w:rsid w:val="00533BFC"/>
    <w:rsid w:val="00534C5D"/>
    <w:rsid w:val="00536096"/>
    <w:rsid w:val="00541363"/>
    <w:rsid w:val="00541833"/>
    <w:rsid w:val="005423F3"/>
    <w:rsid w:val="00544F3A"/>
    <w:rsid w:val="00552450"/>
    <w:rsid w:val="00555836"/>
    <w:rsid w:val="00560EEA"/>
    <w:rsid w:val="0056171B"/>
    <w:rsid w:val="00566A97"/>
    <w:rsid w:val="0057576E"/>
    <w:rsid w:val="00582EB5"/>
    <w:rsid w:val="005832A9"/>
    <w:rsid w:val="005905AE"/>
    <w:rsid w:val="005966F0"/>
    <w:rsid w:val="00596C2D"/>
    <w:rsid w:val="0059739E"/>
    <w:rsid w:val="005C1420"/>
    <w:rsid w:val="005C189D"/>
    <w:rsid w:val="005C3587"/>
    <w:rsid w:val="005C6AD8"/>
    <w:rsid w:val="005C7A47"/>
    <w:rsid w:val="005D20C2"/>
    <w:rsid w:val="005D7BC1"/>
    <w:rsid w:val="005E32BA"/>
    <w:rsid w:val="005E3CA0"/>
    <w:rsid w:val="005E57F4"/>
    <w:rsid w:val="005E68F5"/>
    <w:rsid w:val="005F092E"/>
    <w:rsid w:val="005F4A17"/>
    <w:rsid w:val="005F55B1"/>
    <w:rsid w:val="005F60B2"/>
    <w:rsid w:val="00602C8C"/>
    <w:rsid w:val="00604E8D"/>
    <w:rsid w:val="006079F7"/>
    <w:rsid w:val="0061607A"/>
    <w:rsid w:val="00616313"/>
    <w:rsid w:val="0061638B"/>
    <w:rsid w:val="00616402"/>
    <w:rsid w:val="006172EB"/>
    <w:rsid w:val="006238EF"/>
    <w:rsid w:val="00627135"/>
    <w:rsid w:val="00636199"/>
    <w:rsid w:val="00641B33"/>
    <w:rsid w:val="00643907"/>
    <w:rsid w:val="00662244"/>
    <w:rsid w:val="006648E3"/>
    <w:rsid w:val="00674888"/>
    <w:rsid w:val="00680A7A"/>
    <w:rsid w:val="0069514D"/>
    <w:rsid w:val="006960F1"/>
    <w:rsid w:val="00696804"/>
    <w:rsid w:val="00696F09"/>
    <w:rsid w:val="006A2344"/>
    <w:rsid w:val="006A459A"/>
    <w:rsid w:val="006A470D"/>
    <w:rsid w:val="006A48D7"/>
    <w:rsid w:val="006A4AC0"/>
    <w:rsid w:val="006A538C"/>
    <w:rsid w:val="006B1271"/>
    <w:rsid w:val="006B2F35"/>
    <w:rsid w:val="006B6724"/>
    <w:rsid w:val="006C00B5"/>
    <w:rsid w:val="006C24DD"/>
    <w:rsid w:val="006C50D7"/>
    <w:rsid w:val="006C5CCE"/>
    <w:rsid w:val="006D43F6"/>
    <w:rsid w:val="006D6B2D"/>
    <w:rsid w:val="006E7CCC"/>
    <w:rsid w:val="006F1934"/>
    <w:rsid w:val="006F369D"/>
    <w:rsid w:val="006F441D"/>
    <w:rsid w:val="006F56FE"/>
    <w:rsid w:val="006F7645"/>
    <w:rsid w:val="00703BD6"/>
    <w:rsid w:val="007167C3"/>
    <w:rsid w:val="00717EAE"/>
    <w:rsid w:val="00724707"/>
    <w:rsid w:val="00726E24"/>
    <w:rsid w:val="00727E69"/>
    <w:rsid w:val="00732548"/>
    <w:rsid w:val="0073283E"/>
    <w:rsid w:val="00734D53"/>
    <w:rsid w:val="007403DA"/>
    <w:rsid w:val="007412A6"/>
    <w:rsid w:val="00753369"/>
    <w:rsid w:val="00756765"/>
    <w:rsid w:val="00763FA5"/>
    <w:rsid w:val="00764016"/>
    <w:rsid w:val="0076444A"/>
    <w:rsid w:val="0076485D"/>
    <w:rsid w:val="00765BB3"/>
    <w:rsid w:val="00775BF8"/>
    <w:rsid w:val="00777DDB"/>
    <w:rsid w:val="00780F3B"/>
    <w:rsid w:val="00784026"/>
    <w:rsid w:val="0078641A"/>
    <w:rsid w:val="00787650"/>
    <w:rsid w:val="00793237"/>
    <w:rsid w:val="00793A01"/>
    <w:rsid w:val="007B3899"/>
    <w:rsid w:val="007B47D6"/>
    <w:rsid w:val="007C21E7"/>
    <w:rsid w:val="007C2ED0"/>
    <w:rsid w:val="007C494D"/>
    <w:rsid w:val="007C78E9"/>
    <w:rsid w:val="007E1369"/>
    <w:rsid w:val="007E231E"/>
    <w:rsid w:val="007E6507"/>
    <w:rsid w:val="007F33AB"/>
    <w:rsid w:val="00813AC9"/>
    <w:rsid w:val="00817271"/>
    <w:rsid w:val="00817BDF"/>
    <w:rsid w:val="00824F45"/>
    <w:rsid w:val="00824F88"/>
    <w:rsid w:val="0082612F"/>
    <w:rsid w:val="0083744F"/>
    <w:rsid w:val="0084417D"/>
    <w:rsid w:val="00844ADD"/>
    <w:rsid w:val="008453A0"/>
    <w:rsid w:val="00846290"/>
    <w:rsid w:val="008500DA"/>
    <w:rsid w:val="00850A01"/>
    <w:rsid w:val="00851629"/>
    <w:rsid w:val="00854DBD"/>
    <w:rsid w:val="00856467"/>
    <w:rsid w:val="008627E1"/>
    <w:rsid w:val="00863966"/>
    <w:rsid w:val="00867B1B"/>
    <w:rsid w:val="008722EA"/>
    <w:rsid w:val="00872EC7"/>
    <w:rsid w:val="008730F0"/>
    <w:rsid w:val="00877988"/>
    <w:rsid w:val="008836B3"/>
    <w:rsid w:val="00887D27"/>
    <w:rsid w:val="00893D5B"/>
    <w:rsid w:val="008966EB"/>
    <w:rsid w:val="008A68CD"/>
    <w:rsid w:val="008B1AFE"/>
    <w:rsid w:val="008B1C66"/>
    <w:rsid w:val="008B3589"/>
    <w:rsid w:val="008B4AF4"/>
    <w:rsid w:val="008B7BC0"/>
    <w:rsid w:val="008C2EFD"/>
    <w:rsid w:val="008C465F"/>
    <w:rsid w:val="008C46D7"/>
    <w:rsid w:val="008D3678"/>
    <w:rsid w:val="008D6764"/>
    <w:rsid w:val="008D7818"/>
    <w:rsid w:val="008E49AD"/>
    <w:rsid w:val="008E719C"/>
    <w:rsid w:val="008F0AEF"/>
    <w:rsid w:val="008F1ED1"/>
    <w:rsid w:val="008F728D"/>
    <w:rsid w:val="0090264D"/>
    <w:rsid w:val="009067E4"/>
    <w:rsid w:val="00917A27"/>
    <w:rsid w:val="00921B5D"/>
    <w:rsid w:val="00923129"/>
    <w:rsid w:val="009246F4"/>
    <w:rsid w:val="00932CD8"/>
    <w:rsid w:val="00941DF0"/>
    <w:rsid w:val="00942981"/>
    <w:rsid w:val="00945021"/>
    <w:rsid w:val="0094508D"/>
    <w:rsid w:val="00951BEA"/>
    <w:rsid w:val="009525E3"/>
    <w:rsid w:val="009527BD"/>
    <w:rsid w:val="00952D67"/>
    <w:rsid w:val="0096068F"/>
    <w:rsid w:val="00964CC6"/>
    <w:rsid w:val="009650EB"/>
    <w:rsid w:val="00965A6F"/>
    <w:rsid w:val="009753A8"/>
    <w:rsid w:val="009846CA"/>
    <w:rsid w:val="00995140"/>
    <w:rsid w:val="00995771"/>
    <w:rsid w:val="009A0CE8"/>
    <w:rsid w:val="009B5449"/>
    <w:rsid w:val="009B66F8"/>
    <w:rsid w:val="009B6D1E"/>
    <w:rsid w:val="009B7531"/>
    <w:rsid w:val="009C2913"/>
    <w:rsid w:val="009C2ACF"/>
    <w:rsid w:val="009D012B"/>
    <w:rsid w:val="009D33B8"/>
    <w:rsid w:val="009D781F"/>
    <w:rsid w:val="009E2F6E"/>
    <w:rsid w:val="009E42BB"/>
    <w:rsid w:val="009E5611"/>
    <w:rsid w:val="009F1ADA"/>
    <w:rsid w:val="009F5ECC"/>
    <w:rsid w:val="00A00295"/>
    <w:rsid w:val="00A149C3"/>
    <w:rsid w:val="00A175E8"/>
    <w:rsid w:val="00A23402"/>
    <w:rsid w:val="00A26C74"/>
    <w:rsid w:val="00A27FEB"/>
    <w:rsid w:val="00A35D4A"/>
    <w:rsid w:val="00A36550"/>
    <w:rsid w:val="00A4447E"/>
    <w:rsid w:val="00A513D9"/>
    <w:rsid w:val="00A543F8"/>
    <w:rsid w:val="00A55349"/>
    <w:rsid w:val="00A63783"/>
    <w:rsid w:val="00AA0D7D"/>
    <w:rsid w:val="00AA3188"/>
    <w:rsid w:val="00AA3FFC"/>
    <w:rsid w:val="00AA5D51"/>
    <w:rsid w:val="00AB164A"/>
    <w:rsid w:val="00AB6BC3"/>
    <w:rsid w:val="00AC19DB"/>
    <w:rsid w:val="00AC5598"/>
    <w:rsid w:val="00AD1838"/>
    <w:rsid w:val="00AD252F"/>
    <w:rsid w:val="00AD5390"/>
    <w:rsid w:val="00AD57BF"/>
    <w:rsid w:val="00AD5FAA"/>
    <w:rsid w:val="00AE2375"/>
    <w:rsid w:val="00AE25A3"/>
    <w:rsid w:val="00AE3028"/>
    <w:rsid w:val="00AE39CE"/>
    <w:rsid w:val="00AE4D22"/>
    <w:rsid w:val="00AF01FE"/>
    <w:rsid w:val="00AF0ADC"/>
    <w:rsid w:val="00AF279C"/>
    <w:rsid w:val="00AF4085"/>
    <w:rsid w:val="00AF6603"/>
    <w:rsid w:val="00AF7DAF"/>
    <w:rsid w:val="00AF7E0D"/>
    <w:rsid w:val="00B003DF"/>
    <w:rsid w:val="00B1047F"/>
    <w:rsid w:val="00B10B77"/>
    <w:rsid w:val="00B20860"/>
    <w:rsid w:val="00B214A1"/>
    <w:rsid w:val="00B24ECC"/>
    <w:rsid w:val="00B2526B"/>
    <w:rsid w:val="00B27BE9"/>
    <w:rsid w:val="00B3610E"/>
    <w:rsid w:val="00B37A98"/>
    <w:rsid w:val="00B401BD"/>
    <w:rsid w:val="00B465FC"/>
    <w:rsid w:val="00B47CE8"/>
    <w:rsid w:val="00B56F10"/>
    <w:rsid w:val="00B64709"/>
    <w:rsid w:val="00B65E98"/>
    <w:rsid w:val="00B70A2F"/>
    <w:rsid w:val="00B822E3"/>
    <w:rsid w:val="00B834C7"/>
    <w:rsid w:val="00B83823"/>
    <w:rsid w:val="00B8664F"/>
    <w:rsid w:val="00B91337"/>
    <w:rsid w:val="00B91E28"/>
    <w:rsid w:val="00B93EA5"/>
    <w:rsid w:val="00B96357"/>
    <w:rsid w:val="00BA7DA3"/>
    <w:rsid w:val="00BB0E5B"/>
    <w:rsid w:val="00BB7D27"/>
    <w:rsid w:val="00BD33CE"/>
    <w:rsid w:val="00BD76A2"/>
    <w:rsid w:val="00BF00EA"/>
    <w:rsid w:val="00BF1016"/>
    <w:rsid w:val="00C00C77"/>
    <w:rsid w:val="00C01023"/>
    <w:rsid w:val="00C045C8"/>
    <w:rsid w:val="00C051F5"/>
    <w:rsid w:val="00C12002"/>
    <w:rsid w:val="00C12A31"/>
    <w:rsid w:val="00C2646D"/>
    <w:rsid w:val="00C340FE"/>
    <w:rsid w:val="00C44BA9"/>
    <w:rsid w:val="00C44D62"/>
    <w:rsid w:val="00C5196D"/>
    <w:rsid w:val="00C54D38"/>
    <w:rsid w:val="00C57C56"/>
    <w:rsid w:val="00C607C2"/>
    <w:rsid w:val="00C60D27"/>
    <w:rsid w:val="00C614EC"/>
    <w:rsid w:val="00C62C54"/>
    <w:rsid w:val="00C63436"/>
    <w:rsid w:val="00C637FE"/>
    <w:rsid w:val="00C66B1E"/>
    <w:rsid w:val="00C67A21"/>
    <w:rsid w:val="00C713AC"/>
    <w:rsid w:val="00C717A3"/>
    <w:rsid w:val="00C71BB9"/>
    <w:rsid w:val="00C72759"/>
    <w:rsid w:val="00C77A2B"/>
    <w:rsid w:val="00C80494"/>
    <w:rsid w:val="00C81270"/>
    <w:rsid w:val="00C92B8D"/>
    <w:rsid w:val="00C93877"/>
    <w:rsid w:val="00CA3AA4"/>
    <w:rsid w:val="00CA4401"/>
    <w:rsid w:val="00CA46B7"/>
    <w:rsid w:val="00CB5862"/>
    <w:rsid w:val="00CB5E90"/>
    <w:rsid w:val="00CB67BF"/>
    <w:rsid w:val="00CC25AF"/>
    <w:rsid w:val="00CC7274"/>
    <w:rsid w:val="00CD40C7"/>
    <w:rsid w:val="00CF2363"/>
    <w:rsid w:val="00CF2D0F"/>
    <w:rsid w:val="00D02CE6"/>
    <w:rsid w:val="00D04803"/>
    <w:rsid w:val="00D07643"/>
    <w:rsid w:val="00D07B12"/>
    <w:rsid w:val="00D11F04"/>
    <w:rsid w:val="00D1507E"/>
    <w:rsid w:val="00D15407"/>
    <w:rsid w:val="00D23326"/>
    <w:rsid w:val="00D274F4"/>
    <w:rsid w:val="00D30A8E"/>
    <w:rsid w:val="00D33BF6"/>
    <w:rsid w:val="00D3493A"/>
    <w:rsid w:val="00D36ED6"/>
    <w:rsid w:val="00D42368"/>
    <w:rsid w:val="00D5340B"/>
    <w:rsid w:val="00D53527"/>
    <w:rsid w:val="00D60CD6"/>
    <w:rsid w:val="00D60EB1"/>
    <w:rsid w:val="00D611B5"/>
    <w:rsid w:val="00D6153B"/>
    <w:rsid w:val="00D61B33"/>
    <w:rsid w:val="00D67AF3"/>
    <w:rsid w:val="00D71E21"/>
    <w:rsid w:val="00D75895"/>
    <w:rsid w:val="00D75AEF"/>
    <w:rsid w:val="00D86FE7"/>
    <w:rsid w:val="00D87C55"/>
    <w:rsid w:val="00D87E2F"/>
    <w:rsid w:val="00D96D12"/>
    <w:rsid w:val="00DA0430"/>
    <w:rsid w:val="00DA71F1"/>
    <w:rsid w:val="00DB1426"/>
    <w:rsid w:val="00DC4BAD"/>
    <w:rsid w:val="00DC550D"/>
    <w:rsid w:val="00DC576C"/>
    <w:rsid w:val="00DC688F"/>
    <w:rsid w:val="00DC745F"/>
    <w:rsid w:val="00DD1CBD"/>
    <w:rsid w:val="00DD6EB5"/>
    <w:rsid w:val="00DE0B2C"/>
    <w:rsid w:val="00DE287F"/>
    <w:rsid w:val="00DE4874"/>
    <w:rsid w:val="00DE4F6F"/>
    <w:rsid w:val="00DE5A9D"/>
    <w:rsid w:val="00DF3C24"/>
    <w:rsid w:val="00DF5269"/>
    <w:rsid w:val="00E014E9"/>
    <w:rsid w:val="00E027BB"/>
    <w:rsid w:val="00E05D01"/>
    <w:rsid w:val="00E05F6E"/>
    <w:rsid w:val="00E10B38"/>
    <w:rsid w:val="00E11971"/>
    <w:rsid w:val="00E11C8A"/>
    <w:rsid w:val="00E13EC0"/>
    <w:rsid w:val="00E17080"/>
    <w:rsid w:val="00E17734"/>
    <w:rsid w:val="00E21639"/>
    <w:rsid w:val="00E23D2F"/>
    <w:rsid w:val="00E26637"/>
    <w:rsid w:val="00E32686"/>
    <w:rsid w:val="00E3354B"/>
    <w:rsid w:val="00E45D6C"/>
    <w:rsid w:val="00E50338"/>
    <w:rsid w:val="00E547DF"/>
    <w:rsid w:val="00E54F3D"/>
    <w:rsid w:val="00E55D22"/>
    <w:rsid w:val="00E60492"/>
    <w:rsid w:val="00E72351"/>
    <w:rsid w:val="00E743D3"/>
    <w:rsid w:val="00E75B1E"/>
    <w:rsid w:val="00E76143"/>
    <w:rsid w:val="00E8032E"/>
    <w:rsid w:val="00E86363"/>
    <w:rsid w:val="00E87B52"/>
    <w:rsid w:val="00E94C89"/>
    <w:rsid w:val="00EA3834"/>
    <w:rsid w:val="00EA5D58"/>
    <w:rsid w:val="00EB0976"/>
    <w:rsid w:val="00EB62C7"/>
    <w:rsid w:val="00EB6822"/>
    <w:rsid w:val="00EB77FA"/>
    <w:rsid w:val="00EC0B5C"/>
    <w:rsid w:val="00EC0D16"/>
    <w:rsid w:val="00EC50E0"/>
    <w:rsid w:val="00ED3B39"/>
    <w:rsid w:val="00EE3CFC"/>
    <w:rsid w:val="00EF1AE3"/>
    <w:rsid w:val="00EF34B2"/>
    <w:rsid w:val="00EF4855"/>
    <w:rsid w:val="00EF7AC5"/>
    <w:rsid w:val="00F0326B"/>
    <w:rsid w:val="00F0607D"/>
    <w:rsid w:val="00F07315"/>
    <w:rsid w:val="00F203F0"/>
    <w:rsid w:val="00F30111"/>
    <w:rsid w:val="00F41DDB"/>
    <w:rsid w:val="00F43393"/>
    <w:rsid w:val="00F5430A"/>
    <w:rsid w:val="00F56F71"/>
    <w:rsid w:val="00F5735C"/>
    <w:rsid w:val="00F57888"/>
    <w:rsid w:val="00F60577"/>
    <w:rsid w:val="00F74C69"/>
    <w:rsid w:val="00F7545F"/>
    <w:rsid w:val="00F75528"/>
    <w:rsid w:val="00F76BA3"/>
    <w:rsid w:val="00F82367"/>
    <w:rsid w:val="00F82E45"/>
    <w:rsid w:val="00F84ACE"/>
    <w:rsid w:val="00F917AE"/>
    <w:rsid w:val="00F92539"/>
    <w:rsid w:val="00F92951"/>
    <w:rsid w:val="00FA0118"/>
    <w:rsid w:val="00FA5563"/>
    <w:rsid w:val="00FB686D"/>
    <w:rsid w:val="00FB6F7D"/>
    <w:rsid w:val="00FC148A"/>
    <w:rsid w:val="00FC4550"/>
    <w:rsid w:val="00FC49E4"/>
    <w:rsid w:val="00FD1297"/>
    <w:rsid w:val="00FD5CCF"/>
    <w:rsid w:val="00FD7977"/>
    <w:rsid w:val="00FE1283"/>
    <w:rsid w:val="00FE3804"/>
    <w:rsid w:val="00FF0DFD"/>
    <w:rsid w:val="00FF4A62"/>
    <w:rsid w:val="00FF5556"/>
    <w:rsid w:val="00FF678E"/>
    <w:rsid w:val="01841C11"/>
    <w:rsid w:val="018E0602"/>
    <w:rsid w:val="02FC4C90"/>
    <w:rsid w:val="031D5737"/>
    <w:rsid w:val="03551DCE"/>
    <w:rsid w:val="03900135"/>
    <w:rsid w:val="03C43FF7"/>
    <w:rsid w:val="05993952"/>
    <w:rsid w:val="066F1E3E"/>
    <w:rsid w:val="067014FA"/>
    <w:rsid w:val="071C0B32"/>
    <w:rsid w:val="0AE85438"/>
    <w:rsid w:val="0B1B1043"/>
    <w:rsid w:val="0BEC7499"/>
    <w:rsid w:val="0C9551F2"/>
    <w:rsid w:val="0D096A57"/>
    <w:rsid w:val="0D4363CD"/>
    <w:rsid w:val="0DC5015F"/>
    <w:rsid w:val="0DE63D50"/>
    <w:rsid w:val="0E113B43"/>
    <w:rsid w:val="0E5C2478"/>
    <w:rsid w:val="0E947BCC"/>
    <w:rsid w:val="0FA8265C"/>
    <w:rsid w:val="0FE64671"/>
    <w:rsid w:val="10744594"/>
    <w:rsid w:val="108E0F1A"/>
    <w:rsid w:val="10B909F8"/>
    <w:rsid w:val="11044FC3"/>
    <w:rsid w:val="111953B6"/>
    <w:rsid w:val="11485572"/>
    <w:rsid w:val="118E766A"/>
    <w:rsid w:val="12A76CA0"/>
    <w:rsid w:val="13903BB2"/>
    <w:rsid w:val="13D410AC"/>
    <w:rsid w:val="15A90744"/>
    <w:rsid w:val="15B32E5D"/>
    <w:rsid w:val="16216B3F"/>
    <w:rsid w:val="16344405"/>
    <w:rsid w:val="179D4E95"/>
    <w:rsid w:val="180E003E"/>
    <w:rsid w:val="181D7BCC"/>
    <w:rsid w:val="1868207C"/>
    <w:rsid w:val="18D173DB"/>
    <w:rsid w:val="1B176C62"/>
    <w:rsid w:val="1D22745C"/>
    <w:rsid w:val="1D512334"/>
    <w:rsid w:val="1EB90992"/>
    <w:rsid w:val="1EEB756C"/>
    <w:rsid w:val="1F1D04D5"/>
    <w:rsid w:val="1F536A13"/>
    <w:rsid w:val="20080DF0"/>
    <w:rsid w:val="21096863"/>
    <w:rsid w:val="2111431F"/>
    <w:rsid w:val="215F1227"/>
    <w:rsid w:val="22410C98"/>
    <w:rsid w:val="235208DF"/>
    <w:rsid w:val="245F6211"/>
    <w:rsid w:val="24AD16C4"/>
    <w:rsid w:val="24E1617E"/>
    <w:rsid w:val="25353B40"/>
    <w:rsid w:val="267E3E4F"/>
    <w:rsid w:val="26BC6183"/>
    <w:rsid w:val="27520E8D"/>
    <w:rsid w:val="27EA2A43"/>
    <w:rsid w:val="27F05B0F"/>
    <w:rsid w:val="287C12EA"/>
    <w:rsid w:val="289819AC"/>
    <w:rsid w:val="29134CF2"/>
    <w:rsid w:val="29682DB1"/>
    <w:rsid w:val="29D955B6"/>
    <w:rsid w:val="2A7D1B75"/>
    <w:rsid w:val="2B7A5007"/>
    <w:rsid w:val="2B804C9C"/>
    <w:rsid w:val="2BF32A82"/>
    <w:rsid w:val="2C316817"/>
    <w:rsid w:val="2CA26803"/>
    <w:rsid w:val="2E063631"/>
    <w:rsid w:val="2EB91469"/>
    <w:rsid w:val="2EE92814"/>
    <w:rsid w:val="2EEF7C7E"/>
    <w:rsid w:val="2F460038"/>
    <w:rsid w:val="2F846B37"/>
    <w:rsid w:val="2FD9008E"/>
    <w:rsid w:val="306B69D0"/>
    <w:rsid w:val="324F033E"/>
    <w:rsid w:val="335E54D2"/>
    <w:rsid w:val="3361005D"/>
    <w:rsid w:val="336B5557"/>
    <w:rsid w:val="33C5385E"/>
    <w:rsid w:val="358A0664"/>
    <w:rsid w:val="35B2731F"/>
    <w:rsid w:val="373A6C5C"/>
    <w:rsid w:val="38963023"/>
    <w:rsid w:val="38E56979"/>
    <w:rsid w:val="3952527B"/>
    <w:rsid w:val="39605DC1"/>
    <w:rsid w:val="398465D0"/>
    <w:rsid w:val="3AA9157E"/>
    <w:rsid w:val="3B1519EE"/>
    <w:rsid w:val="3B6B49FD"/>
    <w:rsid w:val="3B862813"/>
    <w:rsid w:val="3BF66650"/>
    <w:rsid w:val="3C1B4870"/>
    <w:rsid w:val="3CBA7A2C"/>
    <w:rsid w:val="3CE252B3"/>
    <w:rsid w:val="3DB628D2"/>
    <w:rsid w:val="3E8A32F7"/>
    <w:rsid w:val="3EFB7B84"/>
    <w:rsid w:val="3F846E4B"/>
    <w:rsid w:val="42B73A66"/>
    <w:rsid w:val="42D63F2E"/>
    <w:rsid w:val="42EE649F"/>
    <w:rsid w:val="44035489"/>
    <w:rsid w:val="448F5994"/>
    <w:rsid w:val="44D267DB"/>
    <w:rsid w:val="465078F5"/>
    <w:rsid w:val="47090316"/>
    <w:rsid w:val="473E145A"/>
    <w:rsid w:val="478216BC"/>
    <w:rsid w:val="47EF6E6C"/>
    <w:rsid w:val="48AF34B0"/>
    <w:rsid w:val="48BE366E"/>
    <w:rsid w:val="49776276"/>
    <w:rsid w:val="4B1E6956"/>
    <w:rsid w:val="4B9909E5"/>
    <w:rsid w:val="4BA641AD"/>
    <w:rsid w:val="4BAD4801"/>
    <w:rsid w:val="4D014B55"/>
    <w:rsid w:val="4D675475"/>
    <w:rsid w:val="4FFB72CD"/>
    <w:rsid w:val="505966DF"/>
    <w:rsid w:val="50795F8A"/>
    <w:rsid w:val="509E29F8"/>
    <w:rsid w:val="510921ED"/>
    <w:rsid w:val="51235C5C"/>
    <w:rsid w:val="513754FE"/>
    <w:rsid w:val="51884B0B"/>
    <w:rsid w:val="51A00928"/>
    <w:rsid w:val="51F80ACF"/>
    <w:rsid w:val="51FA00EB"/>
    <w:rsid w:val="529D6B1E"/>
    <w:rsid w:val="52D91556"/>
    <w:rsid w:val="53A61D53"/>
    <w:rsid w:val="5444101C"/>
    <w:rsid w:val="548E5566"/>
    <w:rsid w:val="54972298"/>
    <w:rsid w:val="549939EC"/>
    <w:rsid w:val="556A75B4"/>
    <w:rsid w:val="56A552E4"/>
    <w:rsid w:val="56B72D3E"/>
    <w:rsid w:val="56D4122A"/>
    <w:rsid w:val="574F2147"/>
    <w:rsid w:val="57A36305"/>
    <w:rsid w:val="57BD504A"/>
    <w:rsid w:val="580D6930"/>
    <w:rsid w:val="58B83507"/>
    <w:rsid w:val="58DA0B91"/>
    <w:rsid w:val="59B05472"/>
    <w:rsid w:val="5B1B37C1"/>
    <w:rsid w:val="5B717992"/>
    <w:rsid w:val="5BCC14CD"/>
    <w:rsid w:val="5C102359"/>
    <w:rsid w:val="5D9C78FF"/>
    <w:rsid w:val="5E0B007E"/>
    <w:rsid w:val="5EFD675E"/>
    <w:rsid w:val="5F361F59"/>
    <w:rsid w:val="5F3E5412"/>
    <w:rsid w:val="5F7F241A"/>
    <w:rsid w:val="608076F6"/>
    <w:rsid w:val="60D57ED2"/>
    <w:rsid w:val="613921D6"/>
    <w:rsid w:val="62C66713"/>
    <w:rsid w:val="63C3530D"/>
    <w:rsid w:val="64FD66A9"/>
    <w:rsid w:val="651E3E49"/>
    <w:rsid w:val="652E2413"/>
    <w:rsid w:val="658A48FD"/>
    <w:rsid w:val="65AB0E09"/>
    <w:rsid w:val="662642BE"/>
    <w:rsid w:val="66DE5DE4"/>
    <w:rsid w:val="67572B54"/>
    <w:rsid w:val="676974E4"/>
    <w:rsid w:val="67797A32"/>
    <w:rsid w:val="679B5323"/>
    <w:rsid w:val="67BE3FF8"/>
    <w:rsid w:val="67DB751E"/>
    <w:rsid w:val="698F5996"/>
    <w:rsid w:val="6990577A"/>
    <w:rsid w:val="699D62C8"/>
    <w:rsid w:val="69B666A0"/>
    <w:rsid w:val="6A22281F"/>
    <w:rsid w:val="6A4F58A2"/>
    <w:rsid w:val="6AD278C0"/>
    <w:rsid w:val="6B8830E5"/>
    <w:rsid w:val="6C9E46C3"/>
    <w:rsid w:val="6F034B41"/>
    <w:rsid w:val="6F0A7A66"/>
    <w:rsid w:val="71D90143"/>
    <w:rsid w:val="72880301"/>
    <w:rsid w:val="72A95563"/>
    <w:rsid w:val="72C523A4"/>
    <w:rsid w:val="74525620"/>
    <w:rsid w:val="74666DDE"/>
    <w:rsid w:val="74BF114B"/>
    <w:rsid w:val="74E4070A"/>
    <w:rsid w:val="756669B9"/>
    <w:rsid w:val="76645036"/>
    <w:rsid w:val="766D5008"/>
    <w:rsid w:val="768A1B6C"/>
    <w:rsid w:val="76FC746B"/>
    <w:rsid w:val="779C2861"/>
    <w:rsid w:val="78813318"/>
    <w:rsid w:val="79604A69"/>
    <w:rsid w:val="79FD228F"/>
    <w:rsid w:val="7AF15640"/>
    <w:rsid w:val="7B5C7ED8"/>
    <w:rsid w:val="7BF1271B"/>
    <w:rsid w:val="7BF25AE6"/>
    <w:rsid w:val="7C1A100D"/>
    <w:rsid w:val="7C9828D9"/>
    <w:rsid w:val="7CA33937"/>
    <w:rsid w:val="7CB807AF"/>
    <w:rsid w:val="7D8C5394"/>
    <w:rsid w:val="7DAE79A9"/>
    <w:rsid w:val="7E2F0FF7"/>
    <w:rsid w:val="7EB579B8"/>
    <w:rsid w:val="7F43387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ocked="1"/>
    <w:lsdException w:qFormat="1" w:unhideWhenUsed="0" w:uiPriority="39" w:semiHidden="0" w:name="toc 2" w:locked="1"/>
    <w:lsdException w:qFormat="1"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nhideWhenUsed="0" w:uiPriority="99"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7"/>
    <w:qFormat/>
    <w:locked/>
    <w:uiPriority w:val="0"/>
    <w:pPr>
      <w:keepNext/>
      <w:keepLines/>
      <w:spacing w:beforeLines="50" w:line="360" w:lineRule="auto"/>
      <w:ind w:firstLine="1044" w:firstLineChars="200"/>
      <w:outlineLvl w:val="0"/>
    </w:pPr>
    <w:rPr>
      <w:rFonts w:ascii="Times New Roman" w:hAnsi="Times New Roman" w:eastAsia="黑体"/>
      <w:b/>
      <w:kern w:val="44"/>
      <w:sz w:val="30"/>
      <w:szCs w:val="20"/>
    </w:rPr>
  </w:style>
  <w:style w:type="paragraph" w:styleId="3">
    <w:name w:val="heading 2"/>
    <w:basedOn w:val="1"/>
    <w:next w:val="1"/>
    <w:link w:val="18"/>
    <w:qFormat/>
    <w:uiPriority w:val="99"/>
    <w:pPr>
      <w:keepNext/>
      <w:keepLines/>
      <w:spacing w:before="60" w:after="60" w:line="360" w:lineRule="auto"/>
      <w:ind w:firstLine="1044" w:firstLineChars="200"/>
      <w:outlineLvl w:val="1"/>
    </w:pPr>
    <w:rPr>
      <w:rFonts w:ascii="Times New Roman" w:hAnsi="Times New Roman" w:eastAsia="仿宋"/>
      <w:b/>
      <w:bCs/>
      <w:sz w:val="30"/>
      <w:szCs w:val="32"/>
    </w:rPr>
  </w:style>
  <w:style w:type="paragraph" w:styleId="4">
    <w:name w:val="heading 3"/>
    <w:basedOn w:val="1"/>
    <w:next w:val="1"/>
    <w:link w:val="19"/>
    <w:qFormat/>
    <w:uiPriority w:val="99"/>
    <w:pPr>
      <w:keepNext/>
      <w:keepLines/>
      <w:spacing w:before="260" w:after="260" w:line="416" w:lineRule="auto"/>
      <w:outlineLvl w:val="2"/>
    </w:pPr>
    <w:rPr>
      <w:rFonts w:ascii="Times New Roman" w:hAnsi="Times New Roman"/>
      <w:b/>
      <w:bCs/>
      <w:sz w:val="32"/>
      <w:szCs w:val="32"/>
    </w:rPr>
  </w:style>
  <w:style w:type="paragraph" w:styleId="5">
    <w:name w:val="heading 4"/>
    <w:basedOn w:val="1"/>
    <w:next w:val="1"/>
    <w:link w:val="20"/>
    <w:qFormat/>
    <w:uiPriority w:val="99"/>
    <w:pPr>
      <w:keepNext/>
      <w:keepLines/>
      <w:spacing w:before="280" w:after="290" w:line="376" w:lineRule="auto"/>
      <w:outlineLvl w:val="3"/>
    </w:pPr>
    <w:rPr>
      <w:rFonts w:ascii="Cambria" w:hAnsi="Cambria"/>
      <w:b/>
      <w:bCs/>
      <w:sz w:val="28"/>
      <w:szCs w:val="28"/>
    </w:rPr>
  </w:style>
  <w:style w:type="character" w:default="1" w:styleId="14">
    <w:name w:val="Default Paragraph Font"/>
    <w:unhideWhenUsed/>
    <w:qFormat/>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6">
    <w:name w:val="caption"/>
    <w:basedOn w:val="1"/>
    <w:next w:val="1"/>
    <w:qFormat/>
    <w:uiPriority w:val="99"/>
    <w:rPr>
      <w:rFonts w:ascii="Calibri Light" w:hAnsi="Calibri Light" w:eastAsia="黑体"/>
      <w:sz w:val="20"/>
      <w:szCs w:val="20"/>
    </w:rPr>
  </w:style>
  <w:style w:type="paragraph" w:styleId="7">
    <w:name w:val="toc 3"/>
    <w:basedOn w:val="1"/>
    <w:next w:val="1"/>
    <w:qFormat/>
    <w:locked/>
    <w:uiPriority w:val="0"/>
    <w:pPr>
      <w:ind w:left="840" w:leftChars="400"/>
    </w:pPr>
  </w:style>
  <w:style w:type="paragraph" w:styleId="8">
    <w:name w:val="Balloon Text"/>
    <w:basedOn w:val="1"/>
    <w:link w:val="22"/>
    <w:semiHidden/>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sz w:val="18"/>
      <w:szCs w:val="18"/>
    </w:rPr>
  </w:style>
  <w:style w:type="paragraph" w:styleId="10">
    <w:name w:val="header"/>
    <w:basedOn w:val="1"/>
    <w:link w:val="24"/>
    <w:semiHidden/>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locked/>
    <w:uiPriority w:val="39"/>
  </w:style>
  <w:style w:type="paragraph" w:styleId="12">
    <w:name w:val="toc 2"/>
    <w:basedOn w:val="1"/>
    <w:next w:val="1"/>
    <w:qFormat/>
    <w:locked/>
    <w:uiPriority w:val="39"/>
    <w:pPr>
      <w:ind w:left="420" w:leftChars="200"/>
    </w:pPr>
  </w:style>
  <w:style w:type="paragraph" w:styleId="13">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15">
    <w:name w:val="Hyperlink"/>
    <w:basedOn w:val="14"/>
    <w:qFormat/>
    <w:uiPriority w:val="99"/>
    <w:rPr>
      <w:rFonts w:cs="Times New Roman"/>
      <w:color w:val="0000FF"/>
      <w:u w:val="single"/>
    </w:rPr>
  </w:style>
  <w:style w:type="table" w:styleId="17">
    <w:name w:val="Table Grid"/>
    <w:basedOn w:val="16"/>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8">
    <w:name w:val="标题 2 Char"/>
    <w:basedOn w:val="14"/>
    <w:link w:val="3"/>
    <w:qFormat/>
    <w:locked/>
    <w:uiPriority w:val="99"/>
    <w:rPr>
      <w:rFonts w:ascii="Times New Roman" w:hAnsi="Times New Roman" w:eastAsia="仿宋" w:cs="Times New Roman"/>
      <w:b/>
      <w:bCs/>
      <w:sz w:val="30"/>
      <w:szCs w:val="32"/>
    </w:rPr>
  </w:style>
  <w:style w:type="character" w:customStyle="1" w:styleId="19">
    <w:name w:val="标题 3 Char"/>
    <w:basedOn w:val="14"/>
    <w:link w:val="4"/>
    <w:qFormat/>
    <w:locked/>
    <w:uiPriority w:val="99"/>
    <w:rPr>
      <w:rFonts w:ascii="Times New Roman" w:hAnsi="Times New Roman" w:eastAsia="宋体" w:cs="Times New Roman"/>
      <w:b/>
      <w:bCs/>
      <w:sz w:val="32"/>
      <w:szCs w:val="32"/>
    </w:rPr>
  </w:style>
  <w:style w:type="character" w:customStyle="1" w:styleId="20">
    <w:name w:val="标题 4 Char"/>
    <w:basedOn w:val="14"/>
    <w:link w:val="5"/>
    <w:qFormat/>
    <w:locked/>
    <w:uiPriority w:val="99"/>
    <w:rPr>
      <w:rFonts w:ascii="Cambria" w:hAnsi="Cambria" w:eastAsia="宋体" w:cs="Times New Roman"/>
      <w:b/>
      <w:bCs/>
      <w:sz w:val="28"/>
      <w:szCs w:val="28"/>
    </w:rPr>
  </w:style>
  <w:style w:type="character" w:customStyle="1" w:styleId="21">
    <w:name w:val="页脚 Char"/>
    <w:basedOn w:val="14"/>
    <w:link w:val="9"/>
    <w:qFormat/>
    <w:locked/>
    <w:uiPriority w:val="99"/>
    <w:rPr>
      <w:rFonts w:ascii="Calibri" w:hAnsi="Calibri" w:eastAsia="宋体" w:cs="Times New Roman"/>
      <w:sz w:val="18"/>
      <w:szCs w:val="18"/>
    </w:rPr>
  </w:style>
  <w:style w:type="character" w:customStyle="1" w:styleId="22">
    <w:name w:val="批注框文本 Char"/>
    <w:basedOn w:val="14"/>
    <w:link w:val="8"/>
    <w:semiHidden/>
    <w:qFormat/>
    <w:locked/>
    <w:uiPriority w:val="99"/>
    <w:rPr>
      <w:rFonts w:ascii="Calibri" w:hAnsi="Calibri" w:eastAsia="宋体" w:cs="Times New Roman"/>
      <w:sz w:val="18"/>
      <w:szCs w:val="18"/>
    </w:rPr>
  </w:style>
  <w:style w:type="paragraph" w:customStyle="1" w:styleId="23">
    <w:name w:val="列出段落1"/>
    <w:basedOn w:val="1"/>
    <w:qFormat/>
    <w:uiPriority w:val="99"/>
    <w:pPr>
      <w:ind w:firstLine="420" w:firstLineChars="200"/>
    </w:pPr>
  </w:style>
  <w:style w:type="character" w:customStyle="1" w:styleId="24">
    <w:name w:val="页眉 Char"/>
    <w:basedOn w:val="14"/>
    <w:link w:val="10"/>
    <w:semiHidden/>
    <w:qFormat/>
    <w:locked/>
    <w:uiPriority w:val="99"/>
    <w:rPr>
      <w:rFonts w:ascii="Calibri" w:hAnsi="Calibri" w:eastAsia="宋体" w:cs="Times New Roman"/>
      <w:sz w:val="18"/>
      <w:szCs w:val="18"/>
    </w:rPr>
  </w:style>
  <w:style w:type="character" w:customStyle="1" w:styleId="25">
    <w:name w:val="apple-converted-space"/>
    <w:basedOn w:val="14"/>
    <w:qFormat/>
    <w:uiPriority w:val="99"/>
    <w:rPr>
      <w:rFonts w:cs="Times New Roman"/>
    </w:rPr>
  </w:style>
  <w:style w:type="paragraph" w:customStyle="1" w:styleId="26">
    <w:name w:val="列出段落11"/>
    <w:basedOn w:val="1"/>
    <w:qFormat/>
    <w:uiPriority w:val="99"/>
    <w:pPr>
      <w:spacing w:line="360" w:lineRule="auto"/>
      <w:ind w:firstLine="420" w:firstLineChars="200"/>
    </w:pPr>
  </w:style>
  <w:style w:type="character" w:customStyle="1" w:styleId="27">
    <w:name w:val="标题 1 Char"/>
    <w:link w:val="2"/>
    <w:qFormat/>
    <w:uiPriority w:val="0"/>
    <w:rPr>
      <w:rFonts w:eastAsia="黑体"/>
      <w:b/>
      <w:kern w:val="44"/>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8"/>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A60FC7-C29A-4C95-ACA4-5BF139FC3AAF}">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16</Pages>
  <Words>6183</Words>
  <Characters>1398</Characters>
  <Lines>11</Lines>
  <Paragraphs>15</Paragraphs>
  <ScaleCrop>false</ScaleCrop>
  <LinksUpToDate>false</LinksUpToDate>
  <CharactersWithSpaces>7566</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2017-10-08T02:17:00Z</dcterms:created>
  <dc:creator>Administrator</dc:creator>
  <cp:lastModifiedBy>lenovo</cp:lastModifiedBy>
  <cp:lastPrinted>2017-10-11T06:05:00Z</cp:lastPrinted>
  <dcterms:modified xsi:type="dcterms:W3CDTF">2017-11-05T23:41:06Z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